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34B2B" w14:textId="77777777" w:rsidR="006D699E" w:rsidRDefault="007B511A" w:rsidP="009371EC">
      <w:pPr>
        <w:autoSpaceDE w:val="0"/>
        <w:autoSpaceDN w:val="0"/>
        <w:adjustRightInd w:val="0"/>
        <w:spacing w:after="0" w:line="240" w:lineRule="auto"/>
        <w:jc w:val="center"/>
        <w:rPr>
          <w:rFonts w:ascii="Verdana" w:hAnsi="Verdana" w:cs="TimesNewRomanPS-BoldItalicMT"/>
          <w:b/>
          <w:bCs/>
          <w:iCs/>
          <w:sz w:val="24"/>
          <w:szCs w:val="24"/>
          <w:lang w:eastAsia="en-GB"/>
        </w:rPr>
      </w:pPr>
      <w:r>
        <w:rPr>
          <w:rFonts w:ascii="Verdana" w:hAnsi="Verdana" w:cs="TimesNewRomanPS-BoldItalicMT"/>
          <w:b/>
          <w:bCs/>
          <w:iCs/>
          <w:sz w:val="24"/>
          <w:szCs w:val="24"/>
          <w:lang w:eastAsia="en-GB"/>
        </w:rPr>
        <w:t>Annex ZA</w:t>
      </w:r>
    </w:p>
    <w:p w14:paraId="50276ED0" w14:textId="77777777" w:rsidR="006D699E" w:rsidRPr="006D699E" w:rsidRDefault="006D699E" w:rsidP="009371EC">
      <w:pPr>
        <w:autoSpaceDE w:val="0"/>
        <w:autoSpaceDN w:val="0"/>
        <w:adjustRightInd w:val="0"/>
        <w:spacing w:after="0" w:line="240" w:lineRule="auto"/>
        <w:jc w:val="center"/>
        <w:rPr>
          <w:rFonts w:ascii="Verdana" w:hAnsi="Verdana" w:cs="TimesNewRomanPS-BoldItalicMT"/>
          <w:bCs/>
          <w:iCs/>
          <w:sz w:val="24"/>
          <w:szCs w:val="24"/>
          <w:lang w:eastAsia="en-GB"/>
        </w:rPr>
      </w:pPr>
      <w:r w:rsidRPr="006D699E">
        <w:rPr>
          <w:rFonts w:ascii="Verdana" w:hAnsi="Verdana" w:cs="TimesNewRomanPS-BoldItalicMT"/>
          <w:bCs/>
          <w:iCs/>
          <w:sz w:val="24"/>
          <w:szCs w:val="24"/>
          <w:lang w:eastAsia="en-GB"/>
        </w:rPr>
        <w:t>(informative)</w:t>
      </w:r>
    </w:p>
    <w:p w14:paraId="13D2F243" w14:textId="77777777" w:rsidR="006D699E" w:rsidRDefault="006D699E" w:rsidP="009371EC">
      <w:pPr>
        <w:autoSpaceDE w:val="0"/>
        <w:autoSpaceDN w:val="0"/>
        <w:adjustRightInd w:val="0"/>
        <w:spacing w:after="0" w:line="240" w:lineRule="auto"/>
        <w:jc w:val="center"/>
        <w:rPr>
          <w:rFonts w:ascii="Verdana" w:hAnsi="Verdana" w:cs="TimesNewRomanPS-BoldItalicMT"/>
          <w:b/>
          <w:bCs/>
          <w:iCs/>
          <w:sz w:val="24"/>
          <w:szCs w:val="24"/>
          <w:lang w:eastAsia="en-GB"/>
        </w:rPr>
      </w:pPr>
    </w:p>
    <w:p w14:paraId="1EA4BFDF" w14:textId="77777777" w:rsidR="009371EC" w:rsidRPr="009371EC" w:rsidRDefault="009371EC" w:rsidP="009371EC">
      <w:pPr>
        <w:autoSpaceDE w:val="0"/>
        <w:autoSpaceDN w:val="0"/>
        <w:adjustRightInd w:val="0"/>
        <w:spacing w:after="0" w:line="240" w:lineRule="auto"/>
        <w:jc w:val="center"/>
        <w:rPr>
          <w:rFonts w:ascii="Verdana" w:hAnsi="Verdana" w:cs="TimesNewRomanPS-BoldItalicMT"/>
          <w:b/>
          <w:bCs/>
          <w:iCs/>
          <w:sz w:val="24"/>
          <w:szCs w:val="24"/>
          <w:lang w:eastAsia="en-GB"/>
        </w:rPr>
      </w:pPr>
      <w:r w:rsidRPr="009371EC">
        <w:rPr>
          <w:rFonts w:ascii="Verdana" w:hAnsi="Verdana" w:cs="TimesNewRomanPS-BoldItalicMT"/>
          <w:b/>
          <w:bCs/>
          <w:iCs/>
          <w:sz w:val="24"/>
          <w:szCs w:val="24"/>
          <w:lang w:eastAsia="en-GB"/>
        </w:rPr>
        <w:t xml:space="preserve">Relationship between this </w:t>
      </w:r>
      <w:r w:rsidRPr="007B511A">
        <w:rPr>
          <w:rFonts w:ascii="Verdana" w:hAnsi="Verdana" w:cs="TimesNewRomanPS-BoldItalicMT"/>
          <w:b/>
          <w:bCs/>
          <w:iCs/>
          <w:sz w:val="24"/>
          <w:szCs w:val="24"/>
          <w:lang w:eastAsia="en-GB"/>
        </w:rPr>
        <w:t xml:space="preserve">European standard and </w:t>
      </w:r>
      <w:bookmarkStart w:id="0" w:name="_Hlk503531430"/>
      <w:r w:rsidRPr="007B511A">
        <w:rPr>
          <w:rFonts w:ascii="Verdana" w:hAnsi="Verdana" w:cs="TimesNewRomanPS-BoldItalicMT"/>
          <w:b/>
          <w:bCs/>
          <w:iCs/>
          <w:sz w:val="24"/>
          <w:szCs w:val="24"/>
          <w:lang w:eastAsia="en-GB"/>
        </w:rPr>
        <w:t xml:space="preserve">the </w:t>
      </w:r>
      <w:r w:rsidR="00E17E95" w:rsidRPr="00E17E95">
        <w:rPr>
          <w:rFonts w:ascii="Verdana" w:hAnsi="Verdana" w:cs="TimesNewRomanPS-BoldItalicMT"/>
          <w:b/>
          <w:bCs/>
          <w:iCs/>
          <w:sz w:val="24"/>
          <w:szCs w:val="24"/>
          <w:lang w:eastAsia="en-GB"/>
        </w:rPr>
        <w:t xml:space="preserve">General Safety and Performance Requirements of Regulation (EU) 2017/745 </w:t>
      </w:r>
      <w:bookmarkEnd w:id="0"/>
      <w:r w:rsidRPr="007B511A">
        <w:rPr>
          <w:rFonts w:ascii="Verdana" w:hAnsi="Verdana" w:cs="TimesNewRomanPS-BoldItalicMT"/>
          <w:b/>
          <w:bCs/>
          <w:iCs/>
          <w:sz w:val="24"/>
          <w:szCs w:val="24"/>
          <w:lang w:eastAsia="en-GB"/>
        </w:rPr>
        <w:t>aimed to be covered</w:t>
      </w:r>
    </w:p>
    <w:p w14:paraId="31618516" w14:textId="77777777" w:rsidR="009371EC" w:rsidRPr="009371EC" w:rsidRDefault="009371EC" w:rsidP="009371EC">
      <w:pPr>
        <w:autoSpaceDE w:val="0"/>
        <w:autoSpaceDN w:val="0"/>
        <w:adjustRightInd w:val="0"/>
        <w:spacing w:after="0" w:line="240" w:lineRule="auto"/>
        <w:jc w:val="both"/>
        <w:rPr>
          <w:rFonts w:ascii="Verdana" w:hAnsi="Verdana" w:cs="TimesNewRomanPS-BoldItalicMT"/>
          <w:b/>
          <w:bCs/>
          <w:iCs/>
          <w:sz w:val="24"/>
          <w:szCs w:val="24"/>
          <w:lang w:eastAsia="en-GB"/>
        </w:rPr>
      </w:pPr>
    </w:p>
    <w:p w14:paraId="053B63E1" w14:textId="0559023F" w:rsidR="009371EC" w:rsidRPr="00CD0604" w:rsidRDefault="00514414" w:rsidP="00B33BAF">
      <w:pPr>
        <w:autoSpaceDE w:val="0"/>
        <w:autoSpaceDN w:val="0"/>
        <w:adjustRightInd w:val="0"/>
        <w:spacing w:after="0" w:line="240" w:lineRule="auto"/>
        <w:jc w:val="both"/>
        <w:rPr>
          <w:rFonts w:ascii="Verdana" w:hAnsi="Verdana" w:cs="TimesNewRomanPS-ItalicMT"/>
          <w:iCs/>
          <w:sz w:val="24"/>
          <w:szCs w:val="24"/>
          <w:lang w:eastAsia="en-GB"/>
        </w:rPr>
      </w:pPr>
      <w:r>
        <w:rPr>
          <w:rFonts w:ascii="Verdana" w:hAnsi="Verdana" w:cs="TimesNewRomanPS-ItalicMT"/>
          <w:iCs/>
          <w:sz w:val="24"/>
          <w:szCs w:val="24"/>
          <w:lang w:eastAsia="en-GB"/>
        </w:rPr>
        <w:t>This European s</w:t>
      </w:r>
      <w:r w:rsidR="009371EC" w:rsidRPr="00BF1D22">
        <w:rPr>
          <w:rFonts w:ascii="Verdana" w:hAnsi="Verdana" w:cs="TimesNewRomanPS-ItalicMT"/>
          <w:iCs/>
          <w:sz w:val="24"/>
          <w:szCs w:val="24"/>
          <w:lang w:eastAsia="en-GB"/>
        </w:rPr>
        <w:t>tandard has been prepared under</w:t>
      </w:r>
      <w:r w:rsidR="00B03D4A">
        <w:rPr>
          <w:rFonts w:ascii="Verdana" w:hAnsi="Verdana" w:cs="TimesNewRomanPS-ItalicMT"/>
          <w:iCs/>
          <w:sz w:val="24"/>
          <w:szCs w:val="24"/>
          <w:lang w:eastAsia="en-GB"/>
        </w:rPr>
        <w:t xml:space="preserve"> M/575</w:t>
      </w:r>
      <w:r w:rsidR="007B511A">
        <w:rPr>
          <w:rFonts w:ascii="Verdana" w:hAnsi="Verdana" w:cs="TimesNewRomanPS-ItalicMT"/>
          <w:i/>
          <w:iCs/>
          <w:sz w:val="24"/>
          <w:szCs w:val="24"/>
          <w:lang w:eastAsia="en-GB"/>
        </w:rPr>
        <w:t xml:space="preserve"> </w:t>
      </w:r>
      <w:r w:rsidR="009371EC" w:rsidRPr="00BF1D22">
        <w:rPr>
          <w:rFonts w:ascii="Verdana" w:hAnsi="Verdana" w:cs="TimesNewRomanPS-ItalicMT"/>
          <w:iCs/>
          <w:sz w:val="24"/>
          <w:szCs w:val="24"/>
          <w:lang w:eastAsia="en-GB"/>
        </w:rPr>
        <w:t xml:space="preserve">to </w:t>
      </w:r>
      <w:r w:rsidR="009371EC" w:rsidRPr="00CD0604">
        <w:rPr>
          <w:rFonts w:ascii="Verdana" w:hAnsi="Verdana" w:cs="TimesNewRomanPS-ItalicMT"/>
          <w:iCs/>
          <w:sz w:val="24"/>
          <w:szCs w:val="24"/>
          <w:lang w:eastAsia="en-GB"/>
        </w:rPr>
        <w:t xml:space="preserve">provide one voluntary means of conforming to </w:t>
      </w:r>
      <w:r w:rsidR="007765A3" w:rsidRPr="007765A3">
        <w:rPr>
          <w:rFonts w:ascii="Verdana" w:hAnsi="Verdana" w:cs="TimesNewRomanPS-ItalicMT"/>
          <w:iCs/>
          <w:sz w:val="24"/>
          <w:szCs w:val="24"/>
          <w:lang w:eastAsia="en-GB"/>
        </w:rPr>
        <w:t xml:space="preserve">the </w:t>
      </w:r>
      <w:bookmarkStart w:id="1" w:name="_Hlk503532359"/>
      <w:bookmarkStart w:id="2" w:name="_Hlk503531688"/>
      <w:r w:rsidR="007765A3" w:rsidRPr="007765A3">
        <w:rPr>
          <w:rFonts w:ascii="Verdana" w:hAnsi="Verdana" w:cs="TimesNewRomanPS-ItalicMT"/>
          <w:iCs/>
          <w:sz w:val="24"/>
          <w:szCs w:val="24"/>
          <w:lang w:eastAsia="en-GB"/>
        </w:rPr>
        <w:t>General Safety and Performance Requirements</w:t>
      </w:r>
      <w:bookmarkEnd w:id="1"/>
      <w:r w:rsidR="007765A3" w:rsidRPr="007765A3">
        <w:rPr>
          <w:rFonts w:ascii="Verdana" w:hAnsi="Verdana" w:cs="TimesNewRomanPS-ItalicMT"/>
          <w:iCs/>
          <w:sz w:val="24"/>
          <w:szCs w:val="24"/>
          <w:lang w:eastAsia="en-GB"/>
        </w:rPr>
        <w:t xml:space="preserve"> of </w:t>
      </w:r>
      <w:bookmarkStart w:id="3" w:name="_Hlk503532527"/>
      <w:r w:rsidR="007765A3" w:rsidRPr="007765A3">
        <w:rPr>
          <w:rFonts w:ascii="Verdana" w:hAnsi="Verdana" w:cs="TimesNewRomanPS-ItalicMT"/>
          <w:iCs/>
          <w:sz w:val="24"/>
          <w:szCs w:val="24"/>
          <w:lang w:eastAsia="en-GB"/>
        </w:rPr>
        <w:t xml:space="preserve">Regulation </w:t>
      </w:r>
      <w:bookmarkEnd w:id="2"/>
      <w:r w:rsidR="007765A3" w:rsidRPr="007765A3">
        <w:rPr>
          <w:rFonts w:ascii="Verdana" w:hAnsi="Verdana" w:cs="TimesNewRomanPS-ItalicMT"/>
          <w:iCs/>
          <w:sz w:val="24"/>
          <w:szCs w:val="24"/>
          <w:lang w:eastAsia="en-GB"/>
        </w:rPr>
        <w:t>(EU) 2017/745</w:t>
      </w:r>
      <w:r w:rsidR="00CD0604" w:rsidRPr="00CD0604">
        <w:rPr>
          <w:rFonts w:ascii="Verdana" w:hAnsi="Verdana" w:cs="TimesNewRomanPS-ItalicMT"/>
          <w:bCs/>
          <w:iCs/>
          <w:sz w:val="24"/>
          <w:szCs w:val="24"/>
          <w:lang w:eastAsia="en-GB"/>
        </w:rPr>
        <w:t xml:space="preserve"> </w:t>
      </w:r>
      <w:bookmarkEnd w:id="3"/>
      <w:r w:rsidR="007765A3" w:rsidRPr="007765A3">
        <w:rPr>
          <w:rFonts w:ascii="Verdana" w:hAnsi="Verdana" w:cs="TimesNewRomanPS-ItalicMT"/>
          <w:bCs/>
          <w:iCs/>
          <w:sz w:val="24"/>
          <w:szCs w:val="24"/>
          <w:lang w:eastAsia="en-GB"/>
        </w:rPr>
        <w:t>of 5 April 2017</w:t>
      </w:r>
      <w:r w:rsidR="00CD0604" w:rsidRPr="00CD0604">
        <w:rPr>
          <w:rFonts w:ascii="Verdana" w:hAnsi="Verdana" w:cs="TimesNewRomanPS-ItalicMT"/>
          <w:bCs/>
          <w:iCs/>
          <w:sz w:val="24"/>
          <w:szCs w:val="24"/>
          <w:lang w:eastAsia="en-GB"/>
        </w:rPr>
        <w:t xml:space="preserve"> concerning medical devices [OJ L </w:t>
      </w:r>
      <w:r w:rsidR="007765A3">
        <w:rPr>
          <w:rFonts w:ascii="Verdana" w:hAnsi="Verdana" w:cs="TimesNewRomanPS-ItalicMT"/>
          <w:bCs/>
          <w:iCs/>
          <w:sz w:val="24"/>
          <w:szCs w:val="24"/>
          <w:lang w:eastAsia="en-GB"/>
        </w:rPr>
        <w:t>117</w:t>
      </w:r>
      <w:r w:rsidR="00CD0604" w:rsidRPr="00CD0604">
        <w:rPr>
          <w:rFonts w:ascii="Verdana" w:hAnsi="Verdana" w:cs="TimesNewRomanPS-ItalicMT"/>
          <w:bCs/>
          <w:iCs/>
          <w:sz w:val="24"/>
          <w:szCs w:val="24"/>
          <w:lang w:eastAsia="en-GB"/>
        </w:rPr>
        <w:t>]</w:t>
      </w:r>
      <w:r w:rsidR="00B33BAF">
        <w:rPr>
          <w:rFonts w:ascii="Verdana" w:hAnsi="Verdana" w:cs="TimesNewRomanPS-ItalicMT"/>
          <w:iCs/>
          <w:sz w:val="24"/>
          <w:szCs w:val="24"/>
          <w:lang w:eastAsia="en-GB"/>
        </w:rPr>
        <w:t xml:space="preserve"> </w:t>
      </w:r>
      <w:r w:rsidR="00B33BAF" w:rsidRPr="005D7DE7">
        <w:rPr>
          <w:rFonts w:ascii="Verdana" w:hAnsi="Verdana" w:cs="TimesNewRomanPS-ItalicMT"/>
          <w:iCs/>
          <w:sz w:val="24"/>
          <w:szCs w:val="24"/>
          <w:lang w:eastAsia="en-GB"/>
        </w:rPr>
        <w:t xml:space="preserve">and to system or process requirements including those relating to quality management systems, risk management, post-market surveillance systems, clinical investigations, clinical </w:t>
      </w:r>
      <w:proofErr w:type="gramStart"/>
      <w:r w:rsidR="00B33BAF" w:rsidRPr="005D7DE7">
        <w:rPr>
          <w:rFonts w:ascii="Verdana" w:hAnsi="Verdana" w:cs="TimesNewRomanPS-ItalicMT"/>
          <w:iCs/>
          <w:sz w:val="24"/>
          <w:szCs w:val="24"/>
          <w:lang w:eastAsia="en-GB"/>
        </w:rPr>
        <w:t>evaluation</w:t>
      </w:r>
      <w:proofErr w:type="gramEnd"/>
      <w:r w:rsidR="00B33BAF" w:rsidRPr="005D7DE7">
        <w:rPr>
          <w:rFonts w:ascii="Verdana" w:hAnsi="Verdana" w:cs="TimesNewRomanPS-ItalicMT"/>
          <w:iCs/>
          <w:sz w:val="24"/>
          <w:szCs w:val="24"/>
          <w:lang w:eastAsia="en-GB"/>
        </w:rPr>
        <w:t xml:space="preserve"> or post-market clinical follow-up</w:t>
      </w:r>
      <w:r w:rsidR="00B33BAF" w:rsidRPr="00B33BAF">
        <w:rPr>
          <w:rFonts w:ascii="Verdana" w:hAnsi="Verdana" w:cs="TimesNewRomanPS-ItalicMT"/>
          <w:iCs/>
          <w:sz w:val="24"/>
          <w:szCs w:val="24"/>
          <w:lang w:eastAsia="en-GB"/>
        </w:rPr>
        <w:t>.</w:t>
      </w:r>
    </w:p>
    <w:p w14:paraId="52735BC5" w14:textId="77777777" w:rsidR="009371EC" w:rsidRPr="00BF1D22" w:rsidRDefault="009371EC" w:rsidP="009371EC">
      <w:pPr>
        <w:autoSpaceDE w:val="0"/>
        <w:autoSpaceDN w:val="0"/>
        <w:adjustRightInd w:val="0"/>
        <w:spacing w:after="0" w:line="240" w:lineRule="auto"/>
        <w:jc w:val="both"/>
        <w:rPr>
          <w:rFonts w:ascii="Verdana" w:hAnsi="Verdana" w:cs="TimesNewRomanPS-ItalicMT"/>
          <w:iCs/>
          <w:sz w:val="24"/>
          <w:szCs w:val="24"/>
          <w:lang w:eastAsia="en-GB"/>
        </w:rPr>
      </w:pPr>
    </w:p>
    <w:p w14:paraId="2E9474C7" w14:textId="29245939" w:rsidR="009371EC" w:rsidRDefault="009371EC" w:rsidP="009371EC">
      <w:pPr>
        <w:autoSpaceDE w:val="0"/>
        <w:autoSpaceDN w:val="0"/>
        <w:adjustRightInd w:val="0"/>
        <w:spacing w:after="0" w:line="240" w:lineRule="auto"/>
        <w:jc w:val="both"/>
        <w:rPr>
          <w:rFonts w:ascii="Verdana" w:hAnsi="Verdana" w:cs="TimesNewRomanPS-ItalicMT"/>
          <w:iCs/>
          <w:sz w:val="24"/>
          <w:szCs w:val="24"/>
          <w:lang w:eastAsia="en-GB"/>
        </w:rPr>
      </w:pPr>
      <w:r w:rsidRPr="00BF1D22">
        <w:rPr>
          <w:rFonts w:ascii="Verdana" w:hAnsi="Verdana" w:cs="TimesNewRomanPS-ItalicMT"/>
          <w:iCs/>
          <w:sz w:val="24"/>
          <w:szCs w:val="24"/>
          <w:lang w:eastAsia="en-GB"/>
        </w:rPr>
        <w:t xml:space="preserve">Once this standard is cited in the Official Journal of the European Union under that </w:t>
      </w:r>
      <w:r w:rsidR="007765A3">
        <w:rPr>
          <w:rFonts w:ascii="Verdana" w:hAnsi="Verdana" w:cs="TimesNewRomanPS-ItalicMT"/>
          <w:iCs/>
          <w:sz w:val="24"/>
          <w:szCs w:val="24"/>
          <w:lang w:eastAsia="en-GB"/>
        </w:rPr>
        <w:t>Regulation</w:t>
      </w:r>
      <w:r w:rsidRPr="00BF1D22">
        <w:rPr>
          <w:rFonts w:ascii="Verdana" w:hAnsi="Verdana" w:cs="TimesNewRomanPS-ItalicMT"/>
          <w:iCs/>
          <w:sz w:val="24"/>
          <w:szCs w:val="24"/>
          <w:lang w:eastAsia="en-GB"/>
        </w:rPr>
        <w:t xml:space="preserve">, compliance with the normative clauses of this standard given in Table </w:t>
      </w:r>
      <w:r w:rsidR="00CD0604">
        <w:rPr>
          <w:rFonts w:ascii="Verdana" w:hAnsi="Verdana" w:cs="TimesNewRomanPS-ItalicMT"/>
          <w:iCs/>
          <w:sz w:val="24"/>
          <w:szCs w:val="24"/>
          <w:lang w:eastAsia="en-GB"/>
        </w:rPr>
        <w:t>ZA</w:t>
      </w:r>
      <w:r w:rsidR="006D699E">
        <w:rPr>
          <w:rFonts w:ascii="Verdana" w:hAnsi="Verdana" w:cs="TimesNewRomanPS-ItalicMT"/>
          <w:iCs/>
          <w:sz w:val="24"/>
          <w:szCs w:val="24"/>
          <w:lang w:eastAsia="en-GB"/>
        </w:rPr>
        <w:t>.1</w:t>
      </w:r>
      <w:r w:rsidRPr="00BF1D22">
        <w:rPr>
          <w:rFonts w:ascii="Verdana" w:hAnsi="Verdana" w:cs="TimesNewRomanPS-ItalicMT"/>
          <w:iCs/>
          <w:sz w:val="24"/>
          <w:szCs w:val="24"/>
          <w:lang w:eastAsia="en-GB"/>
        </w:rPr>
        <w:t xml:space="preserve"> confers, within the limits of the scope of this standard, a presumption of conformity with the corresponding </w:t>
      </w:r>
      <w:r w:rsidR="007765A3" w:rsidRPr="007765A3">
        <w:rPr>
          <w:rFonts w:ascii="Verdana" w:hAnsi="Verdana" w:cs="TimesNewRomanPS-ItalicMT"/>
          <w:iCs/>
          <w:sz w:val="24"/>
          <w:szCs w:val="24"/>
          <w:lang w:eastAsia="en-GB"/>
        </w:rPr>
        <w:t xml:space="preserve">General Safety and Performance Requirements of </w:t>
      </w:r>
      <w:r w:rsidR="007765A3">
        <w:rPr>
          <w:rFonts w:ascii="Verdana" w:hAnsi="Verdana" w:cs="TimesNewRomanPS-ItalicMT"/>
          <w:iCs/>
          <w:sz w:val="24"/>
          <w:szCs w:val="24"/>
          <w:lang w:eastAsia="en-GB"/>
        </w:rPr>
        <w:t xml:space="preserve">that </w:t>
      </w:r>
      <w:r w:rsidR="007765A3" w:rsidRPr="007765A3">
        <w:rPr>
          <w:rFonts w:ascii="Verdana" w:hAnsi="Verdana" w:cs="TimesNewRomanPS-ItalicMT"/>
          <w:iCs/>
          <w:sz w:val="24"/>
          <w:szCs w:val="24"/>
          <w:lang w:eastAsia="en-GB"/>
        </w:rPr>
        <w:t>Regulation</w:t>
      </w:r>
      <w:r w:rsidRPr="00BF1D22">
        <w:rPr>
          <w:rFonts w:ascii="Verdana" w:hAnsi="Verdana" w:cs="TimesNewRomanPS-ItalicMT"/>
          <w:iCs/>
          <w:sz w:val="24"/>
          <w:szCs w:val="24"/>
          <w:lang w:eastAsia="en-GB"/>
        </w:rPr>
        <w:t xml:space="preserve">, and associated EFTA </w:t>
      </w:r>
      <w:r w:rsidR="00613AC2">
        <w:rPr>
          <w:rFonts w:ascii="Verdana" w:hAnsi="Verdana" w:cs="TimesNewRomanPS-ItalicMT"/>
          <w:iCs/>
          <w:sz w:val="24"/>
          <w:szCs w:val="24"/>
          <w:lang w:eastAsia="en-GB"/>
        </w:rPr>
        <w:t>R</w:t>
      </w:r>
      <w:r w:rsidRPr="00BF1D22">
        <w:rPr>
          <w:rFonts w:ascii="Verdana" w:hAnsi="Verdana" w:cs="TimesNewRomanPS-ItalicMT"/>
          <w:iCs/>
          <w:sz w:val="24"/>
          <w:szCs w:val="24"/>
          <w:lang w:eastAsia="en-GB"/>
        </w:rPr>
        <w:t>egulations.</w:t>
      </w:r>
    </w:p>
    <w:p w14:paraId="1C7227D3" w14:textId="56D01BF5" w:rsidR="00B12258" w:rsidRDefault="00B12258" w:rsidP="009371EC">
      <w:pPr>
        <w:autoSpaceDE w:val="0"/>
        <w:autoSpaceDN w:val="0"/>
        <w:adjustRightInd w:val="0"/>
        <w:spacing w:after="0" w:line="240" w:lineRule="auto"/>
        <w:jc w:val="both"/>
        <w:rPr>
          <w:rFonts w:ascii="Verdana" w:hAnsi="Verdana" w:cs="TimesNewRomanPS-ItalicMT"/>
          <w:iCs/>
          <w:sz w:val="24"/>
          <w:szCs w:val="24"/>
          <w:lang w:eastAsia="en-GB"/>
        </w:rPr>
      </w:pPr>
    </w:p>
    <w:p w14:paraId="08CD7952" w14:textId="21DB6130" w:rsidR="00B12258" w:rsidRDefault="00B12258" w:rsidP="009371EC">
      <w:pPr>
        <w:autoSpaceDE w:val="0"/>
        <w:autoSpaceDN w:val="0"/>
        <w:adjustRightInd w:val="0"/>
        <w:spacing w:after="0" w:line="240" w:lineRule="auto"/>
        <w:jc w:val="both"/>
        <w:rPr>
          <w:rFonts w:ascii="Verdana" w:hAnsi="Verdana" w:cs="TimesNewRomanPS-ItalicMT"/>
          <w:iCs/>
          <w:sz w:val="24"/>
          <w:szCs w:val="24"/>
          <w:lang w:eastAsia="en-GB"/>
        </w:rPr>
      </w:pPr>
      <w:bookmarkStart w:id="4" w:name="_Hlk66283484"/>
      <w:r w:rsidRPr="00B12258">
        <w:rPr>
          <w:rFonts w:ascii="Verdana" w:hAnsi="Verdana" w:cs="TimesNewRomanPS-ItalicMT"/>
          <w:iCs/>
          <w:sz w:val="24"/>
          <w:szCs w:val="24"/>
          <w:lang w:eastAsia="en-GB"/>
        </w:rPr>
        <w:t>Where a definition in</w:t>
      </w:r>
      <w:r w:rsidR="003D3D20">
        <w:rPr>
          <w:rFonts w:ascii="Verdana" w:hAnsi="Verdana" w:cs="TimesNewRomanPS-ItalicMT"/>
          <w:iCs/>
          <w:sz w:val="24"/>
          <w:szCs w:val="24"/>
          <w:lang w:eastAsia="en-GB"/>
        </w:rPr>
        <w:t xml:space="preserve"> this</w:t>
      </w:r>
      <w:r w:rsidRPr="00B12258">
        <w:rPr>
          <w:rFonts w:ascii="Verdana" w:hAnsi="Verdana" w:cs="TimesNewRomanPS-ItalicMT"/>
          <w:iCs/>
          <w:sz w:val="24"/>
          <w:szCs w:val="24"/>
          <w:lang w:eastAsia="en-GB"/>
        </w:rPr>
        <w:t xml:space="preserve"> standard differs from a definition of the same term set out in Regulation (EU) 2017/745, the differences shall be indicated in</w:t>
      </w:r>
      <w:r>
        <w:rPr>
          <w:rFonts w:ascii="Verdana" w:hAnsi="Verdana" w:cs="TimesNewRomanPS-ItalicMT"/>
          <w:iCs/>
          <w:sz w:val="24"/>
          <w:szCs w:val="24"/>
          <w:lang w:eastAsia="en-GB"/>
        </w:rPr>
        <w:t xml:space="preserve"> th</w:t>
      </w:r>
      <w:r w:rsidR="003D3D20">
        <w:rPr>
          <w:rFonts w:ascii="Verdana" w:hAnsi="Verdana" w:cs="TimesNewRomanPS-ItalicMT"/>
          <w:iCs/>
          <w:sz w:val="24"/>
          <w:szCs w:val="24"/>
          <w:lang w:eastAsia="en-GB"/>
        </w:rPr>
        <w:t>is</w:t>
      </w:r>
      <w:r>
        <w:rPr>
          <w:rFonts w:ascii="Verdana" w:hAnsi="Verdana" w:cs="TimesNewRomanPS-ItalicMT"/>
          <w:iCs/>
          <w:sz w:val="24"/>
          <w:szCs w:val="24"/>
          <w:lang w:eastAsia="en-GB"/>
        </w:rPr>
        <w:t xml:space="preserve"> Annex Z</w:t>
      </w:r>
      <w:r w:rsidRPr="00B12258">
        <w:rPr>
          <w:rFonts w:ascii="Verdana" w:hAnsi="Verdana" w:cs="TimesNewRomanPS-ItalicMT"/>
          <w:iCs/>
          <w:sz w:val="24"/>
          <w:szCs w:val="24"/>
          <w:lang w:eastAsia="en-GB"/>
        </w:rPr>
        <w:t xml:space="preserve">.  </w:t>
      </w:r>
      <w:proofErr w:type="gramStart"/>
      <w:r w:rsidR="00B30A44">
        <w:rPr>
          <w:rFonts w:ascii="Verdana" w:hAnsi="Verdana" w:cs="TimesNewRomanPS-ItalicMT"/>
          <w:iCs/>
          <w:sz w:val="24"/>
          <w:szCs w:val="24"/>
          <w:lang w:eastAsia="en-GB"/>
        </w:rPr>
        <w:t>F</w:t>
      </w:r>
      <w:r w:rsidRPr="00B12258">
        <w:rPr>
          <w:rFonts w:ascii="Verdana" w:hAnsi="Verdana" w:cs="TimesNewRomanPS-ItalicMT"/>
          <w:iCs/>
          <w:sz w:val="24"/>
          <w:szCs w:val="24"/>
          <w:lang w:eastAsia="en-GB"/>
        </w:rPr>
        <w:t>or the purpose of</w:t>
      </w:r>
      <w:proofErr w:type="gramEnd"/>
      <w:r w:rsidRPr="00B12258">
        <w:rPr>
          <w:rFonts w:ascii="Verdana" w:hAnsi="Verdana" w:cs="TimesNewRomanPS-ItalicMT"/>
          <w:iCs/>
          <w:sz w:val="24"/>
          <w:szCs w:val="24"/>
          <w:lang w:eastAsia="en-GB"/>
        </w:rPr>
        <w:t xml:space="preserve"> using th</w:t>
      </w:r>
      <w:r w:rsidR="00B30A44">
        <w:rPr>
          <w:rFonts w:ascii="Verdana" w:hAnsi="Verdana" w:cs="TimesNewRomanPS-ItalicMT"/>
          <w:iCs/>
          <w:sz w:val="24"/>
          <w:szCs w:val="24"/>
          <w:lang w:eastAsia="en-GB"/>
        </w:rPr>
        <w:t>is</w:t>
      </w:r>
      <w:r w:rsidRPr="00B12258">
        <w:rPr>
          <w:rFonts w:ascii="Verdana" w:hAnsi="Verdana" w:cs="TimesNewRomanPS-ItalicMT"/>
          <w:iCs/>
          <w:sz w:val="24"/>
          <w:szCs w:val="24"/>
          <w:lang w:eastAsia="en-GB"/>
        </w:rPr>
        <w:t xml:space="preserve"> standard in support of the requirements set out in Regulation (EU) 2017/745, the definitions set out in th</w:t>
      </w:r>
      <w:r w:rsidR="003F3F2F">
        <w:rPr>
          <w:rFonts w:ascii="Verdana" w:hAnsi="Verdana" w:cs="TimesNewRomanPS-ItalicMT"/>
          <w:iCs/>
          <w:sz w:val="24"/>
          <w:szCs w:val="24"/>
          <w:lang w:eastAsia="en-GB"/>
        </w:rPr>
        <w:t>is</w:t>
      </w:r>
      <w:r w:rsidRPr="00B12258">
        <w:rPr>
          <w:rFonts w:ascii="Verdana" w:hAnsi="Verdana" w:cs="TimesNewRomanPS-ItalicMT"/>
          <w:iCs/>
          <w:sz w:val="24"/>
          <w:szCs w:val="24"/>
          <w:lang w:eastAsia="en-GB"/>
        </w:rPr>
        <w:t xml:space="preserve"> Regulation prevail.</w:t>
      </w:r>
    </w:p>
    <w:bookmarkEnd w:id="4"/>
    <w:p w14:paraId="44DFBFDB" w14:textId="77777777" w:rsidR="00B12258" w:rsidRDefault="00B12258" w:rsidP="009371EC">
      <w:pPr>
        <w:autoSpaceDE w:val="0"/>
        <w:autoSpaceDN w:val="0"/>
        <w:adjustRightInd w:val="0"/>
        <w:spacing w:after="0" w:line="240" w:lineRule="auto"/>
        <w:jc w:val="both"/>
        <w:rPr>
          <w:rFonts w:ascii="Verdana" w:hAnsi="Verdana" w:cs="TimesNewRomanPS-ItalicMT"/>
          <w:iCs/>
          <w:sz w:val="24"/>
          <w:szCs w:val="24"/>
          <w:lang w:eastAsia="en-GB"/>
        </w:rPr>
      </w:pPr>
    </w:p>
    <w:p w14:paraId="40573BB7" w14:textId="2C13CE38" w:rsidR="006210B3" w:rsidRDefault="006210B3" w:rsidP="006210B3">
      <w:pPr>
        <w:autoSpaceDE w:val="0"/>
        <w:autoSpaceDN w:val="0"/>
        <w:adjustRightInd w:val="0"/>
        <w:spacing w:after="0" w:line="240" w:lineRule="auto"/>
        <w:jc w:val="both"/>
        <w:rPr>
          <w:rFonts w:ascii="Verdana" w:hAnsi="Verdana" w:cs="TimesNewRomanPS-ItalicMT"/>
          <w:iCs/>
          <w:sz w:val="24"/>
          <w:szCs w:val="24"/>
          <w:lang w:eastAsia="en-GB"/>
        </w:rPr>
      </w:pPr>
      <w:r>
        <w:rPr>
          <w:rFonts w:ascii="Verdana" w:hAnsi="Verdana" w:cs="TimesNewRomanPS-ItalicMT"/>
          <w:iCs/>
          <w:sz w:val="24"/>
          <w:szCs w:val="24"/>
          <w:lang w:eastAsia="en-GB"/>
        </w:rPr>
        <w:t xml:space="preserve">Where the European standard </w:t>
      </w:r>
      <w:r w:rsidRPr="004F04E4">
        <w:rPr>
          <w:rFonts w:ascii="Verdana" w:hAnsi="Verdana" w:cs="TimesNewRomanPS-ItalicMT"/>
          <w:iCs/>
          <w:sz w:val="24"/>
          <w:szCs w:val="24"/>
          <w:lang w:eastAsia="en-GB"/>
        </w:rPr>
        <w:t>is an adoption of an International Standard</w:t>
      </w:r>
      <w:r>
        <w:rPr>
          <w:rFonts w:ascii="Verdana" w:hAnsi="Verdana" w:cs="TimesNewRomanPS-ItalicMT"/>
          <w:iCs/>
          <w:sz w:val="24"/>
          <w:szCs w:val="24"/>
          <w:lang w:eastAsia="en-GB"/>
        </w:rPr>
        <w:t xml:space="preserve">, </w:t>
      </w:r>
      <w:r w:rsidRPr="004F04E4">
        <w:rPr>
          <w:rFonts w:ascii="Verdana" w:hAnsi="Verdana" w:cs="TimesNewRomanPS-ItalicMT"/>
          <w:iCs/>
          <w:sz w:val="24"/>
          <w:szCs w:val="24"/>
          <w:lang w:eastAsia="en-GB"/>
        </w:rPr>
        <w:t xml:space="preserve">the scope of this </w:t>
      </w:r>
      <w:r w:rsidR="000F2863">
        <w:rPr>
          <w:rFonts w:ascii="Verdana" w:hAnsi="Verdana" w:cs="TimesNewRomanPS-ItalicMT"/>
          <w:iCs/>
          <w:sz w:val="24"/>
          <w:szCs w:val="24"/>
          <w:lang w:eastAsia="en-GB"/>
        </w:rPr>
        <w:t xml:space="preserve">standard </w:t>
      </w:r>
      <w:r w:rsidRPr="004F04E4">
        <w:rPr>
          <w:rFonts w:ascii="Verdana" w:hAnsi="Verdana" w:cs="TimesNewRomanPS-ItalicMT"/>
          <w:iCs/>
          <w:sz w:val="24"/>
          <w:szCs w:val="24"/>
          <w:lang w:eastAsia="en-GB"/>
        </w:rPr>
        <w:t>can differ from the scope of the European Regulation that it supports.</w:t>
      </w:r>
      <w:r>
        <w:rPr>
          <w:rFonts w:ascii="Verdana" w:hAnsi="Verdana" w:cs="TimesNewRomanPS-ItalicMT"/>
          <w:iCs/>
          <w:sz w:val="24"/>
          <w:szCs w:val="24"/>
          <w:lang w:eastAsia="en-GB"/>
        </w:rPr>
        <w:t xml:space="preserve"> </w:t>
      </w:r>
      <w:r w:rsidRPr="004F04E4">
        <w:rPr>
          <w:rFonts w:ascii="Verdana" w:hAnsi="Verdana" w:cs="TimesNewRomanPS-ItalicMT"/>
          <w:iCs/>
          <w:sz w:val="24"/>
          <w:szCs w:val="24"/>
          <w:lang w:eastAsia="en-GB"/>
        </w:rPr>
        <w:t>As the scope of the applicable regulatory requirements differ from nation to nation and region to region</w:t>
      </w:r>
      <w:r w:rsidR="0074507D">
        <w:rPr>
          <w:rFonts w:ascii="Verdana" w:hAnsi="Verdana" w:cs="TimesNewRomanPS-ItalicMT"/>
          <w:iCs/>
          <w:sz w:val="24"/>
          <w:szCs w:val="24"/>
          <w:lang w:eastAsia="en-GB"/>
        </w:rPr>
        <w:t>, t</w:t>
      </w:r>
      <w:r w:rsidRPr="004F04E4">
        <w:rPr>
          <w:rFonts w:ascii="Verdana" w:hAnsi="Verdana" w:cs="TimesNewRomanPS-ItalicMT"/>
          <w:iCs/>
          <w:sz w:val="24"/>
          <w:szCs w:val="24"/>
          <w:lang w:eastAsia="en-GB"/>
        </w:rPr>
        <w:t>h</w:t>
      </w:r>
      <w:r>
        <w:rPr>
          <w:rFonts w:ascii="Verdana" w:hAnsi="Verdana" w:cs="TimesNewRomanPS-ItalicMT"/>
          <w:iCs/>
          <w:sz w:val="24"/>
          <w:szCs w:val="24"/>
          <w:lang w:eastAsia="en-GB"/>
        </w:rPr>
        <w:t xml:space="preserve">e standard can only </w:t>
      </w:r>
      <w:r w:rsidRPr="004F04E4">
        <w:rPr>
          <w:rFonts w:ascii="Verdana" w:hAnsi="Verdana" w:cs="TimesNewRomanPS-ItalicMT"/>
          <w:iCs/>
          <w:sz w:val="24"/>
          <w:szCs w:val="24"/>
          <w:lang w:eastAsia="en-GB"/>
        </w:rPr>
        <w:t>support</w:t>
      </w:r>
      <w:r>
        <w:rPr>
          <w:rFonts w:ascii="Verdana" w:hAnsi="Verdana" w:cs="TimesNewRomanPS-ItalicMT"/>
          <w:iCs/>
          <w:sz w:val="24"/>
          <w:szCs w:val="24"/>
          <w:lang w:eastAsia="en-GB"/>
        </w:rPr>
        <w:t xml:space="preserve"> </w:t>
      </w:r>
      <w:r w:rsidRPr="004F04E4">
        <w:rPr>
          <w:rFonts w:ascii="Verdana" w:hAnsi="Verdana" w:cs="TimesNewRomanPS-ItalicMT"/>
          <w:iCs/>
          <w:sz w:val="24"/>
          <w:szCs w:val="24"/>
          <w:lang w:eastAsia="en-GB"/>
        </w:rPr>
        <w:t>European regulatory requirement</w:t>
      </w:r>
      <w:r>
        <w:rPr>
          <w:rFonts w:ascii="Verdana" w:hAnsi="Verdana" w:cs="TimesNewRomanPS-ItalicMT"/>
          <w:iCs/>
          <w:sz w:val="24"/>
          <w:szCs w:val="24"/>
          <w:lang w:eastAsia="en-GB"/>
        </w:rPr>
        <w:t>s</w:t>
      </w:r>
      <w:r w:rsidRPr="004F04E4">
        <w:rPr>
          <w:rFonts w:ascii="Verdana" w:hAnsi="Verdana" w:cs="TimesNewRomanPS-ItalicMT"/>
          <w:iCs/>
          <w:sz w:val="24"/>
          <w:szCs w:val="24"/>
          <w:lang w:eastAsia="en-GB"/>
        </w:rPr>
        <w:t xml:space="preserve"> to the extent of the scope of the European regulation for medical devices (EU) 2017/745).</w:t>
      </w:r>
    </w:p>
    <w:p w14:paraId="1050B277" w14:textId="3CC2067B" w:rsidR="00106501" w:rsidRDefault="00106501" w:rsidP="009371EC">
      <w:pPr>
        <w:autoSpaceDE w:val="0"/>
        <w:autoSpaceDN w:val="0"/>
        <w:adjustRightInd w:val="0"/>
        <w:spacing w:after="0" w:line="240" w:lineRule="auto"/>
        <w:jc w:val="both"/>
        <w:rPr>
          <w:rFonts w:ascii="Verdana" w:hAnsi="Verdana" w:cs="TimesNewRomanPS-ItalicMT"/>
          <w:iCs/>
          <w:sz w:val="24"/>
          <w:szCs w:val="24"/>
          <w:lang w:eastAsia="en-GB"/>
        </w:rPr>
      </w:pPr>
    </w:p>
    <w:p w14:paraId="7A7F74B9" w14:textId="77777777" w:rsidR="006210B3" w:rsidRDefault="006210B3" w:rsidP="009371EC">
      <w:pPr>
        <w:autoSpaceDE w:val="0"/>
        <w:autoSpaceDN w:val="0"/>
        <w:adjustRightInd w:val="0"/>
        <w:spacing w:after="0" w:line="240" w:lineRule="auto"/>
        <w:jc w:val="both"/>
        <w:rPr>
          <w:rFonts w:ascii="Verdana" w:hAnsi="Verdana" w:cs="TimesNewRomanPS-ItalicMT"/>
          <w:iCs/>
          <w:sz w:val="24"/>
          <w:szCs w:val="24"/>
          <w:lang w:eastAsia="en-GB"/>
        </w:rPr>
      </w:pPr>
    </w:p>
    <w:p w14:paraId="02DB2D3E" w14:textId="77777777" w:rsidR="00106501" w:rsidRPr="00C63F97" w:rsidRDefault="00106501" w:rsidP="00106501">
      <w:pPr>
        <w:spacing w:after="0" w:line="240" w:lineRule="auto"/>
        <w:jc w:val="both"/>
        <w:rPr>
          <w:rFonts w:ascii="Arial" w:hAnsi="Arial" w:cs="Arial"/>
          <w:sz w:val="20"/>
          <w:szCs w:val="20"/>
        </w:rPr>
      </w:pPr>
      <w:r w:rsidRPr="00C63F97">
        <w:rPr>
          <w:rFonts w:ascii="Arial" w:hAnsi="Arial" w:cs="Arial"/>
          <w:sz w:val="20"/>
          <w:szCs w:val="20"/>
        </w:rPr>
        <w:t>NOTE</w:t>
      </w:r>
      <w:r>
        <w:rPr>
          <w:rFonts w:ascii="Arial" w:hAnsi="Arial" w:cs="Arial"/>
          <w:sz w:val="20"/>
          <w:szCs w:val="20"/>
        </w:rPr>
        <w:t xml:space="preserve"> </w:t>
      </w:r>
      <w:r w:rsidRPr="00C63F97">
        <w:rPr>
          <w:rFonts w:ascii="Arial" w:hAnsi="Arial" w:cs="Arial"/>
          <w:sz w:val="20"/>
          <w:szCs w:val="20"/>
        </w:rPr>
        <w:t>1</w:t>
      </w:r>
      <w:r>
        <w:rPr>
          <w:rFonts w:ascii="Arial" w:hAnsi="Arial" w:cs="Arial"/>
          <w:sz w:val="20"/>
          <w:szCs w:val="20"/>
        </w:rPr>
        <w:tab/>
      </w:r>
      <w:r w:rsidRPr="00C63F97">
        <w:rPr>
          <w:rFonts w:ascii="Arial" w:hAnsi="Arial" w:cs="Arial"/>
          <w:sz w:val="20"/>
          <w:szCs w:val="20"/>
        </w:rPr>
        <w:t xml:space="preserve">Where a reference from a clause of this standard to the risk management process is made, the risk management process needs to </w:t>
      </w:r>
      <w:proofErr w:type="gramStart"/>
      <w:r w:rsidRPr="00C63F97">
        <w:rPr>
          <w:rFonts w:ascii="Arial" w:hAnsi="Arial" w:cs="Arial"/>
          <w:sz w:val="20"/>
          <w:szCs w:val="20"/>
        </w:rPr>
        <w:t xml:space="preserve">be in compliance </w:t>
      </w:r>
      <w:r>
        <w:rPr>
          <w:rFonts w:ascii="Arial" w:hAnsi="Arial" w:cs="Arial"/>
          <w:sz w:val="20"/>
          <w:szCs w:val="20"/>
        </w:rPr>
        <w:t>with</w:t>
      </w:r>
      <w:proofErr w:type="gramEnd"/>
      <w:r>
        <w:rPr>
          <w:rFonts w:ascii="Arial" w:hAnsi="Arial" w:cs="Arial"/>
          <w:sz w:val="20"/>
          <w:szCs w:val="20"/>
        </w:rPr>
        <w:t xml:space="preserve"> </w:t>
      </w:r>
      <w:r w:rsidR="007765A3">
        <w:rPr>
          <w:rFonts w:ascii="Arial" w:hAnsi="Arial" w:cs="Arial"/>
          <w:sz w:val="20"/>
          <w:szCs w:val="20"/>
        </w:rPr>
        <w:t>Regulation (EU) 2017/745</w:t>
      </w:r>
      <w:r w:rsidRPr="00C63F97">
        <w:rPr>
          <w:rFonts w:ascii="Arial" w:hAnsi="Arial" w:cs="Arial"/>
          <w:sz w:val="20"/>
          <w:szCs w:val="20"/>
        </w:rPr>
        <w:t xml:space="preserve">. This means that risks </w:t>
      </w:r>
      <w:proofErr w:type="gramStart"/>
      <w:r w:rsidRPr="00C63F97">
        <w:rPr>
          <w:rFonts w:ascii="Arial" w:hAnsi="Arial" w:cs="Arial"/>
          <w:sz w:val="20"/>
          <w:szCs w:val="20"/>
        </w:rPr>
        <w:t>have to</w:t>
      </w:r>
      <w:proofErr w:type="gramEnd"/>
      <w:r w:rsidRPr="00C63F97">
        <w:rPr>
          <w:rFonts w:ascii="Arial" w:hAnsi="Arial" w:cs="Arial"/>
          <w:sz w:val="20"/>
          <w:szCs w:val="20"/>
        </w:rPr>
        <w:t xml:space="preserve"> be </w:t>
      </w:r>
      <w:r w:rsidR="00AA2B39">
        <w:rPr>
          <w:rFonts w:ascii="Arial" w:hAnsi="Arial" w:cs="Arial"/>
          <w:sz w:val="20"/>
          <w:szCs w:val="20"/>
        </w:rPr>
        <w:t>‘</w:t>
      </w:r>
      <w:r w:rsidRPr="00C63F97">
        <w:rPr>
          <w:rFonts w:ascii="Arial" w:hAnsi="Arial" w:cs="Arial"/>
          <w:sz w:val="20"/>
          <w:szCs w:val="20"/>
        </w:rPr>
        <w:t>reduced as far as possible</w:t>
      </w:r>
      <w:r>
        <w:rPr>
          <w:rFonts w:ascii="Arial" w:hAnsi="Arial" w:cs="Arial"/>
          <w:sz w:val="20"/>
          <w:szCs w:val="20"/>
        </w:rPr>
        <w:t>’</w:t>
      </w:r>
      <w:r w:rsidRPr="00C63F97">
        <w:rPr>
          <w:rFonts w:ascii="Arial" w:hAnsi="Arial" w:cs="Arial"/>
          <w:sz w:val="20"/>
          <w:szCs w:val="20"/>
        </w:rPr>
        <w:t xml:space="preserve">, </w:t>
      </w:r>
      <w:r>
        <w:rPr>
          <w:rFonts w:ascii="Arial" w:hAnsi="Arial" w:cs="Arial"/>
          <w:sz w:val="20"/>
          <w:szCs w:val="20"/>
        </w:rPr>
        <w:t>‘</w:t>
      </w:r>
      <w:r w:rsidR="00AA2B39">
        <w:rPr>
          <w:rFonts w:ascii="Arial" w:hAnsi="Arial" w:cs="Arial"/>
          <w:sz w:val="20"/>
          <w:szCs w:val="20"/>
        </w:rPr>
        <w:t xml:space="preserve">reduced </w:t>
      </w:r>
      <w:r w:rsidRPr="00C63F97">
        <w:rPr>
          <w:rFonts w:ascii="Arial" w:hAnsi="Arial" w:cs="Arial"/>
          <w:sz w:val="20"/>
          <w:szCs w:val="20"/>
        </w:rPr>
        <w:t>to the lowest possible level</w:t>
      </w:r>
      <w:r>
        <w:rPr>
          <w:rFonts w:ascii="Arial" w:hAnsi="Arial" w:cs="Arial"/>
          <w:sz w:val="20"/>
          <w:szCs w:val="20"/>
        </w:rPr>
        <w:t>’</w:t>
      </w:r>
      <w:r w:rsidRPr="00C63F97">
        <w:rPr>
          <w:rFonts w:ascii="Arial" w:hAnsi="Arial" w:cs="Arial"/>
          <w:sz w:val="20"/>
          <w:szCs w:val="20"/>
        </w:rPr>
        <w:t xml:space="preserve">, </w:t>
      </w:r>
      <w:r w:rsidR="00AA2B39">
        <w:rPr>
          <w:rFonts w:ascii="Arial" w:hAnsi="Arial" w:cs="Arial"/>
          <w:sz w:val="20"/>
          <w:szCs w:val="20"/>
        </w:rPr>
        <w:t>‘</w:t>
      </w:r>
      <w:r w:rsidR="00AA2B39" w:rsidRPr="00AA2B39">
        <w:rPr>
          <w:rFonts w:ascii="Arial" w:hAnsi="Arial" w:cs="Arial"/>
          <w:sz w:val="20"/>
          <w:szCs w:val="20"/>
        </w:rPr>
        <w:t>reduce</w:t>
      </w:r>
      <w:r w:rsidR="00AA2B39">
        <w:rPr>
          <w:rFonts w:ascii="Arial" w:hAnsi="Arial" w:cs="Arial"/>
          <w:sz w:val="20"/>
          <w:szCs w:val="20"/>
        </w:rPr>
        <w:t>d</w:t>
      </w:r>
      <w:r w:rsidR="00AA2B39" w:rsidRPr="00AA2B39">
        <w:rPr>
          <w:rFonts w:ascii="Arial" w:hAnsi="Arial" w:cs="Arial"/>
          <w:sz w:val="20"/>
          <w:szCs w:val="20"/>
        </w:rPr>
        <w:t xml:space="preserve"> as far as possible and appropriate</w:t>
      </w:r>
      <w:r w:rsidR="00AA2B39">
        <w:rPr>
          <w:rFonts w:ascii="Arial" w:hAnsi="Arial" w:cs="Arial"/>
          <w:sz w:val="20"/>
          <w:szCs w:val="20"/>
        </w:rPr>
        <w:t>’, ‘</w:t>
      </w:r>
      <w:r w:rsidR="00AA2B39" w:rsidRPr="00AA2B39">
        <w:rPr>
          <w:rFonts w:ascii="Arial" w:hAnsi="Arial" w:cs="Arial"/>
          <w:sz w:val="20"/>
          <w:szCs w:val="20"/>
        </w:rPr>
        <w:t>remove</w:t>
      </w:r>
      <w:r w:rsidR="00AA2B39">
        <w:rPr>
          <w:rFonts w:ascii="Arial" w:hAnsi="Arial" w:cs="Arial"/>
          <w:sz w:val="20"/>
          <w:szCs w:val="20"/>
        </w:rPr>
        <w:t>d</w:t>
      </w:r>
      <w:r w:rsidR="00AA2B39" w:rsidRPr="00AA2B39">
        <w:rPr>
          <w:rFonts w:ascii="Arial" w:hAnsi="Arial" w:cs="Arial"/>
          <w:sz w:val="20"/>
          <w:szCs w:val="20"/>
        </w:rPr>
        <w:t xml:space="preserve"> or reduce</w:t>
      </w:r>
      <w:r w:rsidR="00AA2B39">
        <w:rPr>
          <w:rFonts w:ascii="Arial" w:hAnsi="Arial" w:cs="Arial"/>
          <w:sz w:val="20"/>
          <w:szCs w:val="20"/>
        </w:rPr>
        <w:t>d</w:t>
      </w:r>
      <w:r w:rsidR="00AA2B39" w:rsidRPr="00AA2B39">
        <w:rPr>
          <w:rFonts w:ascii="Arial" w:hAnsi="Arial" w:cs="Arial"/>
          <w:sz w:val="20"/>
          <w:szCs w:val="20"/>
        </w:rPr>
        <w:t xml:space="preserve"> as far as possible</w:t>
      </w:r>
      <w:r w:rsidR="00AA2B39">
        <w:rPr>
          <w:rFonts w:ascii="Arial" w:hAnsi="Arial" w:cs="Arial"/>
          <w:sz w:val="20"/>
          <w:szCs w:val="20"/>
        </w:rPr>
        <w:t>’, ‘</w:t>
      </w:r>
      <w:r w:rsidR="00AA2B39" w:rsidRPr="00AA2B39">
        <w:rPr>
          <w:rFonts w:ascii="Arial" w:hAnsi="Arial" w:cs="Arial"/>
          <w:sz w:val="20"/>
          <w:szCs w:val="20"/>
        </w:rPr>
        <w:t>eliminate</w:t>
      </w:r>
      <w:r w:rsidR="00AA2B39">
        <w:rPr>
          <w:rFonts w:ascii="Arial" w:hAnsi="Arial" w:cs="Arial"/>
          <w:sz w:val="20"/>
          <w:szCs w:val="20"/>
        </w:rPr>
        <w:t>d</w:t>
      </w:r>
      <w:r w:rsidR="00AA2B39" w:rsidRPr="00AA2B39">
        <w:rPr>
          <w:rFonts w:ascii="Arial" w:hAnsi="Arial" w:cs="Arial"/>
          <w:sz w:val="20"/>
          <w:szCs w:val="20"/>
        </w:rPr>
        <w:t xml:space="preserve"> or reduce</w:t>
      </w:r>
      <w:r w:rsidR="00AA2B39">
        <w:rPr>
          <w:rFonts w:ascii="Arial" w:hAnsi="Arial" w:cs="Arial"/>
          <w:sz w:val="20"/>
          <w:szCs w:val="20"/>
        </w:rPr>
        <w:t>d</w:t>
      </w:r>
      <w:r w:rsidR="00AA2B39" w:rsidRPr="00AA2B39">
        <w:rPr>
          <w:rFonts w:ascii="Arial" w:hAnsi="Arial" w:cs="Arial"/>
          <w:sz w:val="20"/>
          <w:szCs w:val="20"/>
        </w:rPr>
        <w:t xml:space="preserve"> as far as possible</w:t>
      </w:r>
      <w:r w:rsidR="00AA2B39">
        <w:rPr>
          <w:rFonts w:ascii="Arial" w:hAnsi="Arial" w:cs="Arial"/>
          <w:sz w:val="20"/>
          <w:szCs w:val="20"/>
        </w:rPr>
        <w:t>’,</w:t>
      </w:r>
      <w:r w:rsidR="00FD0B88">
        <w:rPr>
          <w:rFonts w:ascii="Arial" w:hAnsi="Arial" w:cs="Arial"/>
          <w:sz w:val="20"/>
          <w:szCs w:val="20"/>
        </w:rPr>
        <w:t xml:space="preserve"> </w:t>
      </w:r>
      <w:r w:rsidR="00AA2B39">
        <w:rPr>
          <w:rFonts w:ascii="Arial" w:hAnsi="Arial" w:cs="Arial"/>
          <w:sz w:val="20"/>
          <w:szCs w:val="20"/>
        </w:rPr>
        <w:t>’</w:t>
      </w:r>
      <w:r w:rsidR="00AA2B39" w:rsidRPr="00AA2B39">
        <w:rPr>
          <w:rFonts w:ascii="Arial" w:hAnsi="Arial" w:cs="Arial"/>
          <w:sz w:val="20"/>
          <w:szCs w:val="20"/>
        </w:rPr>
        <w:t>remove</w:t>
      </w:r>
      <w:r w:rsidR="00AA2B39">
        <w:rPr>
          <w:rFonts w:ascii="Arial" w:hAnsi="Arial" w:cs="Arial"/>
          <w:sz w:val="20"/>
          <w:szCs w:val="20"/>
        </w:rPr>
        <w:t>d</w:t>
      </w:r>
      <w:r w:rsidR="00AA2B39" w:rsidRPr="00AA2B39">
        <w:rPr>
          <w:rFonts w:ascii="Arial" w:hAnsi="Arial" w:cs="Arial"/>
          <w:sz w:val="20"/>
          <w:szCs w:val="20"/>
        </w:rPr>
        <w:t xml:space="preserve"> or minimize</w:t>
      </w:r>
      <w:r w:rsidR="00AA2B39">
        <w:rPr>
          <w:rFonts w:ascii="Arial" w:hAnsi="Arial" w:cs="Arial"/>
          <w:sz w:val="20"/>
          <w:szCs w:val="20"/>
        </w:rPr>
        <w:t>d</w:t>
      </w:r>
      <w:r w:rsidR="00AA2B39" w:rsidRPr="00AA2B39">
        <w:rPr>
          <w:rFonts w:ascii="Arial" w:hAnsi="Arial" w:cs="Arial"/>
          <w:sz w:val="20"/>
          <w:szCs w:val="20"/>
        </w:rPr>
        <w:t xml:space="preserve"> as far as possible</w:t>
      </w:r>
      <w:r w:rsidR="00AA2B39">
        <w:rPr>
          <w:rFonts w:ascii="Arial" w:hAnsi="Arial" w:cs="Arial"/>
          <w:sz w:val="20"/>
          <w:szCs w:val="20"/>
        </w:rPr>
        <w:t xml:space="preserve">’, or </w:t>
      </w:r>
      <w:r>
        <w:rPr>
          <w:rFonts w:ascii="Arial" w:hAnsi="Arial" w:cs="Arial"/>
          <w:sz w:val="20"/>
          <w:szCs w:val="20"/>
        </w:rPr>
        <w:t>‘</w:t>
      </w:r>
      <w:r w:rsidRPr="00C63F97">
        <w:rPr>
          <w:rFonts w:ascii="Arial" w:hAnsi="Arial" w:cs="Arial"/>
          <w:sz w:val="20"/>
          <w:szCs w:val="20"/>
        </w:rPr>
        <w:t>minimized</w:t>
      </w:r>
      <w:r>
        <w:rPr>
          <w:rFonts w:ascii="Arial" w:hAnsi="Arial" w:cs="Arial"/>
          <w:sz w:val="20"/>
          <w:szCs w:val="20"/>
        </w:rPr>
        <w:t>’</w:t>
      </w:r>
      <w:r w:rsidRPr="00C63F97">
        <w:rPr>
          <w:rFonts w:ascii="Arial" w:hAnsi="Arial" w:cs="Arial"/>
          <w:sz w:val="20"/>
          <w:szCs w:val="20"/>
        </w:rPr>
        <w:t xml:space="preserve">, according to the wording of the corresponding </w:t>
      </w:r>
      <w:r w:rsidR="00F44967" w:rsidRPr="00F44967">
        <w:rPr>
          <w:rFonts w:ascii="Arial" w:hAnsi="Arial" w:cs="Arial"/>
          <w:sz w:val="20"/>
          <w:szCs w:val="20"/>
        </w:rPr>
        <w:t>General Safety and Performance Requirement</w:t>
      </w:r>
      <w:r w:rsidRPr="00C63F97">
        <w:rPr>
          <w:rFonts w:ascii="Arial" w:hAnsi="Arial" w:cs="Arial"/>
          <w:sz w:val="20"/>
          <w:szCs w:val="20"/>
        </w:rPr>
        <w:t xml:space="preserve">. </w:t>
      </w:r>
    </w:p>
    <w:p w14:paraId="2D6344DE" w14:textId="77777777" w:rsidR="00106501" w:rsidRPr="00C63F97" w:rsidRDefault="00106501" w:rsidP="00106501">
      <w:pPr>
        <w:spacing w:after="0" w:line="240" w:lineRule="auto"/>
        <w:rPr>
          <w:rFonts w:ascii="Arial" w:hAnsi="Arial" w:cs="Arial"/>
          <w:sz w:val="20"/>
          <w:szCs w:val="20"/>
        </w:rPr>
      </w:pPr>
    </w:p>
    <w:p w14:paraId="5455CBF8" w14:textId="77777777" w:rsidR="00106501" w:rsidRPr="00C63F97" w:rsidRDefault="00106501" w:rsidP="00106501">
      <w:pPr>
        <w:spacing w:after="0" w:line="240" w:lineRule="auto"/>
        <w:jc w:val="both"/>
        <w:rPr>
          <w:rFonts w:ascii="Arial" w:hAnsi="Arial" w:cs="Arial"/>
          <w:sz w:val="20"/>
          <w:szCs w:val="20"/>
        </w:rPr>
      </w:pPr>
      <w:r w:rsidRPr="00C63F97">
        <w:rPr>
          <w:rFonts w:ascii="Arial" w:hAnsi="Arial" w:cs="Arial"/>
          <w:sz w:val="20"/>
          <w:szCs w:val="20"/>
        </w:rPr>
        <w:t>NOTE 2</w:t>
      </w:r>
      <w:r>
        <w:rPr>
          <w:rFonts w:ascii="Arial" w:hAnsi="Arial" w:cs="Arial"/>
          <w:sz w:val="20"/>
          <w:szCs w:val="20"/>
        </w:rPr>
        <w:tab/>
      </w:r>
      <w:r w:rsidRPr="00C63F97">
        <w:rPr>
          <w:rFonts w:ascii="Arial" w:hAnsi="Arial" w:cs="Arial"/>
          <w:sz w:val="20"/>
          <w:szCs w:val="20"/>
        </w:rPr>
        <w:t xml:space="preserve">The manufacturer’s policy for determining </w:t>
      </w:r>
      <w:r w:rsidRPr="00C63F97">
        <w:rPr>
          <w:rFonts w:ascii="Arial" w:hAnsi="Arial" w:cs="Arial"/>
          <w:b/>
          <w:sz w:val="20"/>
          <w:szCs w:val="20"/>
        </w:rPr>
        <w:t>acceptable risk</w:t>
      </w:r>
      <w:r>
        <w:rPr>
          <w:rFonts w:ascii="Arial" w:hAnsi="Arial" w:cs="Arial"/>
          <w:sz w:val="20"/>
          <w:szCs w:val="20"/>
        </w:rPr>
        <w:t xml:space="preserve"> must </w:t>
      </w:r>
      <w:proofErr w:type="gramStart"/>
      <w:r>
        <w:rPr>
          <w:rFonts w:ascii="Arial" w:hAnsi="Arial" w:cs="Arial"/>
          <w:sz w:val="20"/>
          <w:szCs w:val="20"/>
        </w:rPr>
        <w:t>be in compliance with</w:t>
      </w:r>
      <w:proofErr w:type="gramEnd"/>
      <w:r>
        <w:rPr>
          <w:rFonts w:ascii="Arial" w:hAnsi="Arial" w:cs="Arial"/>
          <w:sz w:val="20"/>
          <w:szCs w:val="20"/>
        </w:rPr>
        <w:t xml:space="preserve"> </w:t>
      </w:r>
      <w:r w:rsidR="00FF104D" w:rsidRPr="00FF104D">
        <w:rPr>
          <w:rFonts w:ascii="Arial" w:hAnsi="Arial" w:cs="Arial"/>
          <w:sz w:val="20"/>
          <w:szCs w:val="20"/>
        </w:rPr>
        <w:t>General Safety and Performance Requirements 1, 2, 3, 4, 5, 8, 9, 10, 11, 14, 16, 17, 18, 19, 20,</w:t>
      </w:r>
      <w:r w:rsidR="006F4722">
        <w:rPr>
          <w:rFonts w:ascii="Arial" w:hAnsi="Arial" w:cs="Arial"/>
          <w:sz w:val="20"/>
          <w:szCs w:val="20"/>
        </w:rPr>
        <w:t xml:space="preserve"> 21</w:t>
      </w:r>
      <w:r w:rsidR="00FF104D" w:rsidRPr="00FF104D">
        <w:rPr>
          <w:rFonts w:ascii="Arial" w:hAnsi="Arial" w:cs="Arial"/>
          <w:sz w:val="20"/>
          <w:szCs w:val="20"/>
        </w:rPr>
        <w:t xml:space="preserve"> and 22 of the </w:t>
      </w:r>
      <w:r w:rsidR="00FF104D">
        <w:rPr>
          <w:rFonts w:ascii="Arial" w:hAnsi="Arial" w:cs="Arial"/>
          <w:sz w:val="20"/>
          <w:szCs w:val="20"/>
        </w:rPr>
        <w:t>R</w:t>
      </w:r>
      <w:r w:rsidR="00FF104D" w:rsidRPr="00FF104D">
        <w:rPr>
          <w:rFonts w:ascii="Arial" w:hAnsi="Arial" w:cs="Arial"/>
          <w:sz w:val="20"/>
          <w:szCs w:val="20"/>
        </w:rPr>
        <w:t>egulation</w:t>
      </w:r>
      <w:r w:rsidRPr="00C63F97">
        <w:rPr>
          <w:rFonts w:ascii="Arial" w:hAnsi="Arial" w:cs="Arial"/>
          <w:sz w:val="20"/>
          <w:szCs w:val="20"/>
        </w:rPr>
        <w:t>.</w:t>
      </w:r>
    </w:p>
    <w:p w14:paraId="7A7ED955" w14:textId="77777777" w:rsidR="00106501" w:rsidRPr="00C63F97" w:rsidRDefault="00106501" w:rsidP="00106501">
      <w:pPr>
        <w:spacing w:after="0" w:line="240" w:lineRule="auto"/>
        <w:rPr>
          <w:rFonts w:ascii="Arial" w:hAnsi="Arial" w:cs="Arial"/>
          <w:sz w:val="20"/>
          <w:szCs w:val="20"/>
        </w:rPr>
      </w:pPr>
    </w:p>
    <w:p w14:paraId="00D4BAEA" w14:textId="77777777" w:rsidR="00106501" w:rsidRPr="00C63F97" w:rsidRDefault="00106501" w:rsidP="00106501">
      <w:pPr>
        <w:spacing w:after="0" w:line="240" w:lineRule="auto"/>
        <w:rPr>
          <w:rFonts w:ascii="Arial" w:hAnsi="Arial" w:cs="Arial"/>
          <w:sz w:val="20"/>
          <w:szCs w:val="20"/>
        </w:rPr>
      </w:pPr>
    </w:p>
    <w:p w14:paraId="7C134ED6" w14:textId="53C53D07" w:rsidR="00106501" w:rsidRPr="00106501" w:rsidRDefault="00106501" w:rsidP="00106501">
      <w:pPr>
        <w:spacing w:after="0" w:line="240" w:lineRule="auto"/>
        <w:jc w:val="both"/>
        <w:rPr>
          <w:rFonts w:ascii="Arial" w:hAnsi="Arial" w:cs="Arial"/>
          <w:sz w:val="20"/>
          <w:szCs w:val="20"/>
        </w:rPr>
      </w:pPr>
      <w:r w:rsidRPr="00C63F97">
        <w:rPr>
          <w:rFonts w:ascii="Arial" w:hAnsi="Arial" w:cs="Arial"/>
          <w:sz w:val="20"/>
          <w:szCs w:val="20"/>
        </w:rPr>
        <w:t xml:space="preserve">NOTE </w:t>
      </w:r>
      <w:r w:rsidR="001E5C3F">
        <w:rPr>
          <w:rFonts w:ascii="Arial" w:hAnsi="Arial" w:cs="Arial"/>
          <w:sz w:val="20"/>
          <w:szCs w:val="20"/>
        </w:rPr>
        <w:t>3</w:t>
      </w:r>
      <w:r w:rsidRPr="00C63F97">
        <w:rPr>
          <w:rFonts w:ascii="Arial" w:hAnsi="Arial" w:cs="Arial"/>
          <w:sz w:val="20"/>
          <w:szCs w:val="20"/>
        </w:rPr>
        <w:tab/>
        <w:t xml:space="preserve">When </w:t>
      </w:r>
      <w:r w:rsidR="00F44967">
        <w:rPr>
          <w:rFonts w:ascii="Arial" w:hAnsi="Arial" w:cs="Arial"/>
          <w:sz w:val="20"/>
          <w:szCs w:val="20"/>
        </w:rPr>
        <w:t xml:space="preserve">a </w:t>
      </w:r>
      <w:r w:rsidR="00F44967" w:rsidRPr="00F44967">
        <w:rPr>
          <w:rFonts w:ascii="Arial" w:hAnsi="Arial" w:cs="Arial"/>
          <w:sz w:val="20"/>
          <w:szCs w:val="20"/>
        </w:rPr>
        <w:t xml:space="preserve">General Safety and Performance Requirement </w:t>
      </w:r>
      <w:r w:rsidRPr="00C63F97">
        <w:rPr>
          <w:rFonts w:ascii="Arial" w:hAnsi="Arial" w:cs="Arial"/>
          <w:sz w:val="20"/>
          <w:szCs w:val="20"/>
        </w:rPr>
        <w:t xml:space="preserve">does not appear in Table </w:t>
      </w:r>
      <w:r w:rsidRPr="005A2E2A">
        <w:rPr>
          <w:rFonts w:ascii="Arial" w:hAnsi="Arial" w:cs="Arial"/>
          <w:sz w:val="20"/>
          <w:szCs w:val="20"/>
        </w:rPr>
        <w:t>ZA.1,</w:t>
      </w:r>
      <w:r w:rsidRPr="00C63F97">
        <w:rPr>
          <w:rFonts w:ascii="Arial" w:hAnsi="Arial" w:cs="Arial"/>
          <w:sz w:val="20"/>
          <w:szCs w:val="20"/>
        </w:rPr>
        <w:t xml:space="preserve"> it means that it is not addressed by this European Standard.</w:t>
      </w:r>
    </w:p>
    <w:p w14:paraId="0BC471EA" w14:textId="77777777" w:rsidR="009371EC" w:rsidRPr="00BF1D22" w:rsidRDefault="009371EC" w:rsidP="009371EC">
      <w:pPr>
        <w:autoSpaceDE w:val="0"/>
        <w:autoSpaceDN w:val="0"/>
        <w:adjustRightInd w:val="0"/>
        <w:spacing w:after="0" w:line="240" w:lineRule="auto"/>
        <w:jc w:val="both"/>
        <w:rPr>
          <w:rFonts w:ascii="Verdana" w:hAnsi="Verdana" w:cs="TimesNewRomanPS-ItalicMT"/>
          <w:iCs/>
          <w:sz w:val="24"/>
          <w:szCs w:val="24"/>
          <w:lang w:eastAsia="en-GB"/>
        </w:rPr>
      </w:pPr>
    </w:p>
    <w:p w14:paraId="5502A84A" w14:textId="77777777" w:rsidR="00B12258" w:rsidRDefault="009371EC" w:rsidP="009371EC">
      <w:pPr>
        <w:autoSpaceDE w:val="0"/>
        <w:autoSpaceDN w:val="0"/>
        <w:adjustRightInd w:val="0"/>
        <w:spacing w:after="0" w:line="240" w:lineRule="auto"/>
        <w:jc w:val="center"/>
        <w:rPr>
          <w:rFonts w:ascii="Verdana" w:hAnsi="Verdana" w:cs="TimesNewRomanPS-BoldItalicMT"/>
          <w:b/>
          <w:bCs/>
          <w:iCs/>
          <w:sz w:val="24"/>
          <w:szCs w:val="24"/>
          <w:lang w:eastAsia="en-GB"/>
        </w:rPr>
      </w:pPr>
      <w:r w:rsidRPr="00BF1D22">
        <w:rPr>
          <w:rFonts w:ascii="Verdana" w:hAnsi="Verdana" w:cs="TimesNewRomanPS-BoldItalicMT"/>
          <w:b/>
          <w:bCs/>
          <w:iCs/>
          <w:sz w:val="24"/>
          <w:szCs w:val="24"/>
          <w:lang w:eastAsia="en-GB"/>
        </w:rPr>
        <w:t xml:space="preserve">Table </w:t>
      </w:r>
      <w:r w:rsidR="00CD0604">
        <w:rPr>
          <w:rFonts w:ascii="Verdana" w:hAnsi="Verdana" w:cs="TimesNewRomanPS-BoldItalicMT"/>
          <w:b/>
          <w:bCs/>
          <w:iCs/>
          <w:sz w:val="24"/>
          <w:szCs w:val="24"/>
          <w:lang w:eastAsia="en-GB"/>
        </w:rPr>
        <w:t>ZA</w:t>
      </w:r>
      <w:r w:rsidR="006D699E">
        <w:rPr>
          <w:rFonts w:ascii="Verdana" w:hAnsi="Verdana" w:cs="TimesNewRomanPS-BoldItalicMT"/>
          <w:b/>
          <w:bCs/>
          <w:iCs/>
          <w:sz w:val="24"/>
          <w:szCs w:val="24"/>
          <w:lang w:eastAsia="en-GB"/>
        </w:rPr>
        <w:t>.1</w:t>
      </w:r>
      <w:r w:rsidRPr="00BF1D22">
        <w:rPr>
          <w:rFonts w:ascii="Verdana" w:hAnsi="Verdana" w:cs="TimesNewRomanPS-BoldItalicMT"/>
          <w:b/>
          <w:bCs/>
          <w:iCs/>
          <w:sz w:val="24"/>
          <w:szCs w:val="24"/>
          <w:lang w:eastAsia="en-GB"/>
        </w:rPr>
        <w:t xml:space="preserve"> – </w:t>
      </w:r>
    </w:p>
    <w:p w14:paraId="0A52DAEE" w14:textId="1DD4D937" w:rsidR="009371EC" w:rsidRPr="00B12258" w:rsidRDefault="009371EC" w:rsidP="009371EC">
      <w:pPr>
        <w:autoSpaceDE w:val="0"/>
        <w:autoSpaceDN w:val="0"/>
        <w:adjustRightInd w:val="0"/>
        <w:spacing w:after="0" w:line="240" w:lineRule="auto"/>
        <w:jc w:val="center"/>
        <w:rPr>
          <w:rFonts w:ascii="Verdana" w:hAnsi="Verdana" w:cs="TimesNewRomanPS-BoldItalicMT"/>
          <w:b/>
          <w:bCs/>
          <w:iCs/>
          <w:sz w:val="24"/>
          <w:szCs w:val="24"/>
          <w:lang w:eastAsia="en-GB"/>
        </w:rPr>
      </w:pPr>
      <w:r w:rsidRPr="00BF1D22">
        <w:rPr>
          <w:rFonts w:ascii="Verdana" w:hAnsi="Verdana" w:cs="TimesNewRomanPS-BoldItalicMT"/>
          <w:b/>
          <w:bCs/>
          <w:iCs/>
          <w:sz w:val="24"/>
          <w:szCs w:val="24"/>
          <w:lang w:eastAsia="en-GB"/>
        </w:rPr>
        <w:t xml:space="preserve">Correspondence between this European standard and </w:t>
      </w:r>
      <w:r w:rsidR="00E3198D" w:rsidRPr="00E3198D">
        <w:rPr>
          <w:rFonts w:ascii="Verdana" w:hAnsi="Verdana" w:cs="TimesNewRomanPS-BoldItalicMT"/>
          <w:b/>
          <w:bCs/>
          <w:iCs/>
          <w:sz w:val="24"/>
          <w:szCs w:val="24"/>
          <w:lang w:eastAsia="en-GB"/>
        </w:rPr>
        <w:t>Annex I</w:t>
      </w:r>
      <w:r w:rsidRPr="00E3198D">
        <w:rPr>
          <w:rFonts w:ascii="Verdana" w:hAnsi="Verdana" w:cs="TimesNewRomanPS-BoldItalicMT"/>
          <w:b/>
          <w:bCs/>
          <w:iCs/>
          <w:sz w:val="24"/>
          <w:szCs w:val="24"/>
          <w:lang w:eastAsia="en-GB"/>
        </w:rPr>
        <w:t xml:space="preserve"> </w:t>
      </w:r>
      <w:r w:rsidR="00E3198D" w:rsidRPr="00E3198D">
        <w:rPr>
          <w:rFonts w:ascii="Verdana" w:hAnsi="Verdana" w:cs="TimesNewRomanPS-BoldItalicMT"/>
          <w:b/>
          <w:bCs/>
          <w:iCs/>
          <w:sz w:val="24"/>
          <w:szCs w:val="24"/>
          <w:lang w:eastAsia="en-GB"/>
        </w:rPr>
        <w:t xml:space="preserve">of </w:t>
      </w:r>
      <w:r w:rsidR="00496797" w:rsidRPr="00496797">
        <w:rPr>
          <w:rFonts w:ascii="Verdana" w:hAnsi="Verdana" w:cs="TimesNewRomanPS-BoldItalicMT"/>
          <w:b/>
          <w:bCs/>
          <w:iCs/>
          <w:sz w:val="24"/>
          <w:szCs w:val="24"/>
          <w:lang w:eastAsia="en-GB"/>
        </w:rPr>
        <w:t>Regulation</w:t>
      </w:r>
      <w:r w:rsidR="00496797" w:rsidRPr="0010788C">
        <w:rPr>
          <w:rFonts w:ascii="Verdana" w:hAnsi="Verdana" w:cs="TimesNewRomanPS-BoldItalicMT"/>
          <w:b/>
          <w:bCs/>
          <w:iCs/>
          <w:sz w:val="24"/>
          <w:szCs w:val="24"/>
          <w:lang w:eastAsia="en-GB"/>
        </w:rPr>
        <w:t xml:space="preserve"> (EU) 2017/745 </w:t>
      </w:r>
      <w:r w:rsidRPr="0010788C">
        <w:rPr>
          <w:rFonts w:ascii="Verdana" w:hAnsi="Verdana" w:cs="TimesNewRomanPS-BoldItalicMT"/>
          <w:b/>
          <w:bCs/>
          <w:iCs/>
          <w:sz w:val="24"/>
          <w:szCs w:val="24"/>
          <w:lang w:eastAsia="en-GB"/>
        </w:rPr>
        <w:t>[</w:t>
      </w:r>
      <w:r w:rsidR="00E3198D" w:rsidRPr="0010788C">
        <w:rPr>
          <w:rFonts w:ascii="Verdana" w:hAnsi="Verdana" w:cs="TimesNewRomanPS-BoldItalicMT"/>
          <w:b/>
          <w:bCs/>
          <w:iCs/>
          <w:sz w:val="24"/>
          <w:szCs w:val="24"/>
          <w:lang w:eastAsia="en-GB"/>
        </w:rPr>
        <w:t xml:space="preserve">OJ L </w:t>
      </w:r>
      <w:r w:rsidR="00E3198D" w:rsidRPr="005D7DE7">
        <w:rPr>
          <w:rFonts w:ascii="Verdana" w:hAnsi="Verdana" w:cs="TimesNewRomanPS-BoldItalicMT"/>
          <w:b/>
          <w:bCs/>
          <w:iCs/>
          <w:sz w:val="24"/>
          <w:szCs w:val="24"/>
          <w:lang w:eastAsia="en-GB"/>
        </w:rPr>
        <w:t>1</w:t>
      </w:r>
      <w:r w:rsidR="00496797" w:rsidRPr="005D7DE7">
        <w:rPr>
          <w:rFonts w:ascii="Verdana" w:hAnsi="Verdana" w:cs="TimesNewRomanPS-BoldItalicMT"/>
          <w:b/>
          <w:bCs/>
          <w:iCs/>
          <w:sz w:val="24"/>
          <w:szCs w:val="24"/>
          <w:lang w:eastAsia="en-GB"/>
        </w:rPr>
        <w:t>17</w:t>
      </w:r>
      <w:r w:rsidR="004013EE" w:rsidRPr="005D7DE7">
        <w:rPr>
          <w:rFonts w:ascii="Verdana" w:hAnsi="Verdana" w:cs="TimesNewRomanPS-BoldItalicMT"/>
          <w:b/>
          <w:bCs/>
          <w:iCs/>
          <w:sz w:val="24"/>
          <w:szCs w:val="24"/>
          <w:lang w:eastAsia="en-GB"/>
        </w:rPr>
        <w:t>]</w:t>
      </w:r>
      <w:r w:rsidR="00F97C25" w:rsidRPr="005D7DE7">
        <w:rPr>
          <w:rFonts w:ascii="Verdana" w:hAnsi="Verdana" w:cs="TimesNewRomanPS-BoldItalicMT"/>
          <w:b/>
          <w:bCs/>
          <w:iCs/>
          <w:sz w:val="24"/>
          <w:szCs w:val="24"/>
          <w:lang w:eastAsia="en-GB"/>
        </w:rPr>
        <w:t xml:space="preserve"> </w:t>
      </w:r>
      <w:r w:rsidR="00F97C25" w:rsidRPr="005D7DE7">
        <w:rPr>
          <w:rFonts w:ascii="Verdana" w:hAnsi="Verdana" w:cs="TimesNewRomanPS-ItalicMT"/>
          <w:iCs/>
          <w:sz w:val="24"/>
          <w:szCs w:val="24"/>
          <w:lang w:eastAsia="en-GB"/>
        </w:rPr>
        <w:t xml:space="preserve">and to system or process requirements including those relating to quality management systems, risk management, post-market surveillance systems, clinical investigations, clinical </w:t>
      </w:r>
      <w:proofErr w:type="gramStart"/>
      <w:r w:rsidR="00F97C25" w:rsidRPr="005D7DE7">
        <w:rPr>
          <w:rFonts w:ascii="Verdana" w:hAnsi="Verdana" w:cs="TimesNewRomanPS-ItalicMT"/>
          <w:iCs/>
          <w:sz w:val="24"/>
          <w:szCs w:val="24"/>
          <w:lang w:eastAsia="en-GB"/>
        </w:rPr>
        <w:t>evaluation</w:t>
      </w:r>
      <w:proofErr w:type="gramEnd"/>
      <w:r w:rsidR="00F97C25" w:rsidRPr="005D7DE7">
        <w:rPr>
          <w:rFonts w:ascii="Verdana" w:hAnsi="Verdana" w:cs="TimesNewRomanPS-ItalicMT"/>
          <w:iCs/>
          <w:sz w:val="24"/>
          <w:szCs w:val="24"/>
          <w:lang w:eastAsia="en-GB"/>
        </w:rPr>
        <w:t xml:space="preserve"> or post-market clinical follow-up</w:t>
      </w:r>
    </w:p>
    <w:p w14:paraId="27A5836D" w14:textId="77777777" w:rsidR="009371EC" w:rsidRPr="00B12258" w:rsidRDefault="009371EC" w:rsidP="009371EC">
      <w:pPr>
        <w:autoSpaceDE w:val="0"/>
        <w:autoSpaceDN w:val="0"/>
        <w:adjustRightInd w:val="0"/>
        <w:spacing w:after="0" w:line="240" w:lineRule="auto"/>
        <w:rPr>
          <w:rFonts w:ascii="Verdana" w:hAnsi="Verdana" w:cs="TimesNewRomanPS-BoldItalicMT"/>
          <w:b/>
          <w:bCs/>
          <w:iC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0F3834" w:rsidRPr="000F3834" w14:paraId="31C0D0D1" w14:textId="77777777" w:rsidTr="006D699E">
        <w:tc>
          <w:tcPr>
            <w:tcW w:w="3192" w:type="dxa"/>
            <w:shd w:val="clear" w:color="auto" w:fill="auto"/>
            <w:vAlign w:val="center"/>
          </w:tcPr>
          <w:p w14:paraId="13AFB176" w14:textId="77777777" w:rsidR="009371EC" w:rsidRPr="003A3E09" w:rsidRDefault="00496797" w:rsidP="00E3198D">
            <w:pPr>
              <w:autoSpaceDE w:val="0"/>
              <w:autoSpaceDN w:val="0"/>
              <w:adjustRightInd w:val="0"/>
              <w:spacing w:after="0" w:line="240" w:lineRule="auto"/>
              <w:jc w:val="center"/>
              <w:rPr>
                <w:rFonts w:ascii="Verdana" w:hAnsi="Verdana" w:cs="TimesNewRomanPS-BoldItalicMT"/>
                <w:b/>
                <w:bCs/>
                <w:iCs/>
                <w:sz w:val="24"/>
                <w:szCs w:val="24"/>
                <w:lang w:eastAsia="en-GB"/>
              </w:rPr>
            </w:pPr>
            <w:r w:rsidRPr="003A3E09">
              <w:rPr>
                <w:rFonts w:ascii="Verdana" w:hAnsi="Verdana" w:cs="TimesNewRomanPS-ItalicMT"/>
                <w:iCs/>
                <w:sz w:val="24"/>
                <w:szCs w:val="24"/>
                <w:lang w:eastAsia="en-GB"/>
              </w:rPr>
              <w:t xml:space="preserve">General Safety and Performance Requirements </w:t>
            </w:r>
            <w:r w:rsidR="009371EC" w:rsidRPr="003A3E09">
              <w:rPr>
                <w:rFonts w:ascii="Verdana" w:hAnsi="Verdana" w:cs="TimesNewRomanPS-ItalicMT"/>
                <w:iCs/>
                <w:sz w:val="24"/>
                <w:szCs w:val="24"/>
                <w:lang w:eastAsia="en-GB"/>
              </w:rPr>
              <w:t xml:space="preserve">of </w:t>
            </w:r>
            <w:r w:rsidRPr="003A3E09">
              <w:rPr>
                <w:rFonts w:ascii="Verdana" w:hAnsi="Verdana" w:cs="TimesNewRomanPS-ItalicMT"/>
                <w:iCs/>
                <w:sz w:val="24"/>
                <w:szCs w:val="24"/>
                <w:lang w:eastAsia="en-GB"/>
              </w:rPr>
              <w:t>Regulation (EU) 2017/745</w:t>
            </w:r>
          </w:p>
        </w:tc>
        <w:tc>
          <w:tcPr>
            <w:tcW w:w="3192" w:type="dxa"/>
            <w:shd w:val="clear" w:color="auto" w:fill="auto"/>
            <w:vAlign w:val="center"/>
          </w:tcPr>
          <w:p w14:paraId="5637AC92" w14:textId="77777777" w:rsidR="009371EC" w:rsidRPr="000F3834" w:rsidRDefault="009371EC" w:rsidP="006D699E">
            <w:pPr>
              <w:autoSpaceDE w:val="0"/>
              <w:autoSpaceDN w:val="0"/>
              <w:adjustRightInd w:val="0"/>
              <w:spacing w:after="0" w:line="240" w:lineRule="auto"/>
              <w:jc w:val="center"/>
              <w:rPr>
                <w:rFonts w:ascii="Verdana" w:hAnsi="Verdana" w:cs="TimesNewRomanPS-ItalicMT"/>
                <w:iCs/>
                <w:sz w:val="24"/>
                <w:szCs w:val="24"/>
                <w:lang w:eastAsia="en-GB"/>
              </w:rPr>
            </w:pPr>
            <w:r w:rsidRPr="000F3834">
              <w:rPr>
                <w:rFonts w:ascii="Verdana" w:hAnsi="Verdana" w:cs="TimesNewRomanPS-ItalicMT"/>
                <w:iCs/>
                <w:sz w:val="24"/>
                <w:szCs w:val="24"/>
                <w:lang w:eastAsia="en-GB"/>
              </w:rPr>
              <w:t>Clause(s) / sub-clause(s)</w:t>
            </w:r>
          </w:p>
          <w:p w14:paraId="30E4396D" w14:textId="77777777" w:rsidR="009371EC" w:rsidRPr="000F3834" w:rsidRDefault="009371EC" w:rsidP="006D699E">
            <w:pPr>
              <w:autoSpaceDE w:val="0"/>
              <w:autoSpaceDN w:val="0"/>
              <w:adjustRightInd w:val="0"/>
              <w:spacing w:after="0" w:line="240" w:lineRule="auto"/>
              <w:jc w:val="center"/>
              <w:rPr>
                <w:rFonts w:ascii="Verdana" w:hAnsi="Verdana" w:cs="TimesNewRomanPS-BoldItalicMT"/>
                <w:b/>
                <w:bCs/>
                <w:iCs/>
                <w:sz w:val="24"/>
                <w:szCs w:val="24"/>
                <w:lang w:eastAsia="en-GB"/>
              </w:rPr>
            </w:pPr>
            <w:r w:rsidRPr="000F3834">
              <w:rPr>
                <w:rFonts w:ascii="Verdana" w:hAnsi="Verdana" w:cs="TimesNewRomanPS-ItalicMT"/>
                <w:iCs/>
                <w:sz w:val="24"/>
                <w:szCs w:val="24"/>
                <w:lang w:eastAsia="en-GB"/>
              </w:rPr>
              <w:t>of this EN</w:t>
            </w:r>
          </w:p>
        </w:tc>
        <w:tc>
          <w:tcPr>
            <w:tcW w:w="3192" w:type="dxa"/>
            <w:shd w:val="clear" w:color="auto" w:fill="auto"/>
            <w:vAlign w:val="center"/>
          </w:tcPr>
          <w:p w14:paraId="3E7BE303" w14:textId="77777777" w:rsidR="009371EC" w:rsidRPr="000F3834" w:rsidRDefault="009371EC" w:rsidP="006D699E">
            <w:pPr>
              <w:autoSpaceDE w:val="0"/>
              <w:autoSpaceDN w:val="0"/>
              <w:adjustRightInd w:val="0"/>
              <w:spacing w:after="0" w:line="240" w:lineRule="auto"/>
              <w:jc w:val="center"/>
              <w:rPr>
                <w:rFonts w:ascii="Verdana" w:hAnsi="Verdana" w:cs="TimesNewRomanPS-BoldItalicMT"/>
                <w:b/>
                <w:bCs/>
                <w:iCs/>
                <w:sz w:val="24"/>
                <w:szCs w:val="24"/>
                <w:lang w:eastAsia="en-GB"/>
              </w:rPr>
            </w:pPr>
            <w:r w:rsidRPr="000F3834">
              <w:rPr>
                <w:rFonts w:ascii="Verdana" w:hAnsi="Verdana" w:cs="TimesNewRomanPS-ItalicMT"/>
                <w:iCs/>
                <w:sz w:val="24"/>
                <w:szCs w:val="24"/>
                <w:lang w:eastAsia="en-GB"/>
              </w:rPr>
              <w:t>Remarks / Notes</w:t>
            </w:r>
          </w:p>
        </w:tc>
      </w:tr>
      <w:tr w:rsidR="000F3834" w:rsidRPr="000F3834" w14:paraId="3B2D1440" w14:textId="77777777" w:rsidTr="000F3834">
        <w:tc>
          <w:tcPr>
            <w:tcW w:w="3192" w:type="dxa"/>
            <w:shd w:val="clear" w:color="auto" w:fill="auto"/>
          </w:tcPr>
          <w:p w14:paraId="4D17BCE3" w14:textId="77777777" w:rsidR="004C13D8" w:rsidRDefault="004C13D8" w:rsidP="004C13D8">
            <w:pPr>
              <w:pStyle w:val="Tabletext9"/>
              <w:spacing w:before="0" w:after="0" w:line="240" w:lineRule="auto"/>
              <w:jc w:val="left"/>
              <w:rPr>
                <w:rFonts w:ascii="Verdana" w:hAnsi="Verdana"/>
                <w:i/>
                <w:szCs w:val="18"/>
              </w:rPr>
            </w:pPr>
            <w:r>
              <w:rPr>
                <w:rFonts w:ascii="Verdana" w:hAnsi="Verdana"/>
                <w:i/>
                <w:szCs w:val="18"/>
              </w:rPr>
              <w:t xml:space="preserve">[Only one </w:t>
            </w:r>
            <w:r w:rsidR="00496797">
              <w:rPr>
                <w:rFonts w:ascii="Verdana" w:hAnsi="Verdana"/>
                <w:i/>
                <w:szCs w:val="18"/>
              </w:rPr>
              <w:t>GSP</w:t>
            </w:r>
            <w:r>
              <w:rPr>
                <w:rFonts w:ascii="Verdana" w:hAnsi="Verdana"/>
                <w:i/>
                <w:szCs w:val="18"/>
              </w:rPr>
              <w:t>R per row]</w:t>
            </w:r>
          </w:p>
          <w:p w14:paraId="22B63DF0" w14:textId="77777777" w:rsidR="009371EC" w:rsidRPr="000F3834" w:rsidRDefault="004C13D8" w:rsidP="004C13D8">
            <w:pPr>
              <w:autoSpaceDE w:val="0"/>
              <w:autoSpaceDN w:val="0"/>
              <w:adjustRightInd w:val="0"/>
              <w:spacing w:after="0" w:line="240" w:lineRule="auto"/>
              <w:rPr>
                <w:rFonts w:ascii="Verdana" w:hAnsi="Verdana" w:cs="TimesNewRomanPS-BoldItalicMT"/>
                <w:b/>
                <w:bCs/>
                <w:iCs/>
                <w:sz w:val="24"/>
                <w:szCs w:val="24"/>
                <w:lang w:eastAsia="en-GB"/>
              </w:rPr>
            </w:pPr>
            <w:r>
              <w:rPr>
                <w:rFonts w:ascii="Verdana" w:hAnsi="Verdana"/>
                <w:i/>
                <w:sz w:val="18"/>
                <w:szCs w:val="18"/>
              </w:rPr>
              <w:t xml:space="preserve">[Rows ordered according to the numerical order of the </w:t>
            </w:r>
            <w:r w:rsidR="00496797">
              <w:rPr>
                <w:rFonts w:ascii="Verdana" w:hAnsi="Verdana"/>
                <w:i/>
                <w:sz w:val="18"/>
                <w:szCs w:val="18"/>
              </w:rPr>
              <w:t>GSPR</w:t>
            </w:r>
            <w:r>
              <w:rPr>
                <w:rFonts w:ascii="Verdana" w:hAnsi="Verdana"/>
                <w:i/>
                <w:sz w:val="18"/>
                <w:szCs w:val="18"/>
              </w:rPr>
              <w:t>s]</w:t>
            </w:r>
          </w:p>
        </w:tc>
        <w:tc>
          <w:tcPr>
            <w:tcW w:w="3192" w:type="dxa"/>
            <w:shd w:val="clear" w:color="auto" w:fill="auto"/>
          </w:tcPr>
          <w:p w14:paraId="4472E220" w14:textId="77777777" w:rsidR="009371EC" w:rsidRPr="000F3834" w:rsidRDefault="009371EC" w:rsidP="000F3834">
            <w:pPr>
              <w:autoSpaceDE w:val="0"/>
              <w:autoSpaceDN w:val="0"/>
              <w:adjustRightInd w:val="0"/>
              <w:spacing w:after="0" w:line="240" w:lineRule="auto"/>
              <w:rPr>
                <w:rFonts w:ascii="Verdana" w:hAnsi="Verdana" w:cs="TimesNewRomanPS-BoldItalicMT"/>
                <w:b/>
                <w:bCs/>
                <w:iCs/>
                <w:sz w:val="24"/>
                <w:szCs w:val="24"/>
                <w:lang w:eastAsia="en-GB"/>
              </w:rPr>
            </w:pPr>
          </w:p>
        </w:tc>
        <w:tc>
          <w:tcPr>
            <w:tcW w:w="3192" w:type="dxa"/>
            <w:shd w:val="clear" w:color="auto" w:fill="auto"/>
          </w:tcPr>
          <w:p w14:paraId="0659B979" w14:textId="77777777" w:rsidR="009371EC" w:rsidRPr="00932D62" w:rsidRDefault="00932D62" w:rsidP="000F3834">
            <w:pPr>
              <w:autoSpaceDE w:val="0"/>
              <w:autoSpaceDN w:val="0"/>
              <w:adjustRightInd w:val="0"/>
              <w:spacing w:after="0" w:line="240" w:lineRule="auto"/>
              <w:rPr>
                <w:rFonts w:ascii="Verdana" w:hAnsi="Verdana" w:cs="TimesNewRomanPS-BoldItalicMT"/>
                <w:b/>
                <w:bCs/>
                <w:iCs/>
                <w:sz w:val="18"/>
                <w:szCs w:val="18"/>
                <w:lang w:eastAsia="en-GB"/>
              </w:rPr>
            </w:pPr>
            <w:r w:rsidRPr="00932D62">
              <w:rPr>
                <w:rFonts w:ascii="Verdana" w:hAnsi="Verdana"/>
                <w:i/>
                <w:sz w:val="18"/>
                <w:szCs w:val="18"/>
              </w:rPr>
              <w:t xml:space="preserve">[To be filled in with any explanations needed to clarify the coverage of the </w:t>
            </w:r>
            <w:r w:rsidR="003A3E09">
              <w:rPr>
                <w:rFonts w:ascii="Verdana" w:hAnsi="Verdana"/>
                <w:i/>
                <w:sz w:val="18"/>
                <w:szCs w:val="18"/>
              </w:rPr>
              <w:t>GSP</w:t>
            </w:r>
            <w:r w:rsidRPr="00932D62">
              <w:rPr>
                <w:rFonts w:ascii="Verdana" w:hAnsi="Verdana"/>
                <w:i/>
                <w:sz w:val="18"/>
                <w:szCs w:val="18"/>
              </w:rPr>
              <w:t>R.]</w:t>
            </w:r>
          </w:p>
        </w:tc>
      </w:tr>
      <w:tr w:rsidR="006D699E" w:rsidRPr="000F3834" w14:paraId="60FAB1BB" w14:textId="77777777" w:rsidTr="000F3834">
        <w:tc>
          <w:tcPr>
            <w:tcW w:w="3192" w:type="dxa"/>
            <w:shd w:val="clear" w:color="auto" w:fill="auto"/>
          </w:tcPr>
          <w:p w14:paraId="4B6EA50E" w14:textId="77777777" w:rsidR="006D699E" w:rsidRPr="000F3834" w:rsidRDefault="006D699E" w:rsidP="000F3834">
            <w:pPr>
              <w:autoSpaceDE w:val="0"/>
              <w:autoSpaceDN w:val="0"/>
              <w:adjustRightInd w:val="0"/>
              <w:spacing w:after="0" w:line="240" w:lineRule="auto"/>
              <w:rPr>
                <w:rFonts w:ascii="Verdana" w:hAnsi="Verdana" w:cs="TimesNewRomanPS-BoldItalicMT"/>
                <w:b/>
                <w:bCs/>
                <w:iCs/>
                <w:sz w:val="24"/>
                <w:szCs w:val="24"/>
                <w:lang w:eastAsia="en-GB"/>
              </w:rPr>
            </w:pPr>
          </w:p>
        </w:tc>
        <w:tc>
          <w:tcPr>
            <w:tcW w:w="3192" w:type="dxa"/>
            <w:shd w:val="clear" w:color="auto" w:fill="auto"/>
          </w:tcPr>
          <w:p w14:paraId="6EBEE0B3" w14:textId="77777777" w:rsidR="006D699E" w:rsidRPr="000F3834" w:rsidRDefault="006D699E" w:rsidP="000F3834">
            <w:pPr>
              <w:autoSpaceDE w:val="0"/>
              <w:autoSpaceDN w:val="0"/>
              <w:adjustRightInd w:val="0"/>
              <w:spacing w:after="0" w:line="240" w:lineRule="auto"/>
              <w:rPr>
                <w:rFonts w:ascii="Verdana" w:hAnsi="Verdana" w:cs="TimesNewRomanPS-BoldItalicMT"/>
                <w:b/>
                <w:bCs/>
                <w:iCs/>
                <w:sz w:val="24"/>
                <w:szCs w:val="24"/>
                <w:lang w:eastAsia="en-GB"/>
              </w:rPr>
            </w:pPr>
          </w:p>
        </w:tc>
        <w:tc>
          <w:tcPr>
            <w:tcW w:w="3192" w:type="dxa"/>
            <w:shd w:val="clear" w:color="auto" w:fill="auto"/>
          </w:tcPr>
          <w:p w14:paraId="2BBF3255" w14:textId="77777777" w:rsidR="006D699E" w:rsidRPr="000F3834" w:rsidRDefault="006D699E" w:rsidP="000F3834">
            <w:pPr>
              <w:autoSpaceDE w:val="0"/>
              <w:autoSpaceDN w:val="0"/>
              <w:adjustRightInd w:val="0"/>
              <w:spacing w:after="0" w:line="240" w:lineRule="auto"/>
              <w:rPr>
                <w:rFonts w:ascii="Verdana" w:hAnsi="Verdana" w:cs="TimesNewRomanPS-BoldItalicMT"/>
                <w:b/>
                <w:bCs/>
                <w:iCs/>
                <w:sz w:val="24"/>
                <w:szCs w:val="24"/>
                <w:lang w:eastAsia="en-GB"/>
              </w:rPr>
            </w:pPr>
          </w:p>
        </w:tc>
      </w:tr>
    </w:tbl>
    <w:p w14:paraId="0C813E62" w14:textId="77777777" w:rsidR="009371EC" w:rsidRPr="00BF1D22" w:rsidRDefault="009371EC" w:rsidP="009371EC">
      <w:pPr>
        <w:autoSpaceDE w:val="0"/>
        <w:autoSpaceDN w:val="0"/>
        <w:adjustRightInd w:val="0"/>
        <w:spacing w:after="0" w:line="240" w:lineRule="auto"/>
        <w:rPr>
          <w:rFonts w:ascii="Verdana" w:hAnsi="Verdana" w:cs="TimesNewRomanPS-ItalicMT"/>
          <w:iCs/>
          <w:sz w:val="24"/>
          <w:szCs w:val="24"/>
          <w:lang w:eastAsia="en-GB"/>
        </w:rPr>
      </w:pPr>
    </w:p>
    <w:p w14:paraId="5542FB35" w14:textId="77777777" w:rsidR="00DA68F3" w:rsidRDefault="00DA68F3" w:rsidP="00DA68F3">
      <w:pPr>
        <w:autoSpaceDE w:val="0"/>
        <w:autoSpaceDN w:val="0"/>
        <w:adjustRightInd w:val="0"/>
        <w:rPr>
          <w:rFonts w:ascii="Verdana" w:hAnsi="Verdana" w:cs="TimesNewRomanPS-ItalicMT"/>
          <w:iCs/>
          <w:sz w:val="18"/>
          <w:szCs w:val="18"/>
          <w:highlight w:val="yellow"/>
          <w:lang w:eastAsia="en-GB"/>
        </w:rPr>
      </w:pPr>
      <w:r>
        <w:rPr>
          <w:rFonts w:ascii="Verdana" w:hAnsi="Verdana" w:cs="TimesNewRomanPS-ItalicMT"/>
          <w:iCs/>
          <w:sz w:val="18"/>
          <w:szCs w:val="18"/>
          <w:highlight w:val="yellow"/>
          <w:lang w:eastAsia="en-GB"/>
        </w:rPr>
        <w:t xml:space="preserve">[NOTE to the drafter, to be removed before publication: </w:t>
      </w:r>
    </w:p>
    <w:p w14:paraId="05AC16A5" w14:textId="77777777" w:rsidR="00DA68F3" w:rsidRPr="00DA68F3" w:rsidRDefault="00DA68F3" w:rsidP="009D5C51">
      <w:pPr>
        <w:autoSpaceDE w:val="0"/>
        <w:autoSpaceDN w:val="0"/>
        <w:adjustRightInd w:val="0"/>
        <w:rPr>
          <w:rFonts w:ascii="Verdana" w:hAnsi="Verdana" w:cs="TimesNewRomanPS-ItalicMT"/>
          <w:iCs/>
          <w:lang w:eastAsia="en-GB"/>
        </w:rPr>
      </w:pPr>
      <w:r>
        <w:rPr>
          <w:rFonts w:ascii="Verdana" w:hAnsi="Verdana" w:cs="TimesNewRomanPS-ItalicMT"/>
          <w:iCs/>
          <w:sz w:val="18"/>
          <w:szCs w:val="18"/>
          <w:highlight w:val="yellow"/>
          <w:lang w:eastAsia="en-GB"/>
        </w:rPr>
        <w:t xml:space="preserve">This table </w:t>
      </w:r>
      <w:r w:rsidR="009D5C51">
        <w:rPr>
          <w:rFonts w:ascii="Verdana" w:hAnsi="Verdana" w:cs="TimesNewRomanPS-ItalicMT"/>
          <w:iCs/>
          <w:sz w:val="18"/>
          <w:szCs w:val="18"/>
          <w:highlight w:val="yellow"/>
          <w:lang w:eastAsia="en-GB"/>
        </w:rPr>
        <w:t xml:space="preserve">is to </w:t>
      </w:r>
      <w:r>
        <w:rPr>
          <w:rFonts w:ascii="Verdana" w:hAnsi="Verdana" w:cs="TimesNewRomanPS-ItalicMT"/>
          <w:iCs/>
          <w:sz w:val="18"/>
          <w:szCs w:val="18"/>
          <w:highlight w:val="yellow"/>
          <w:lang w:eastAsia="en-GB"/>
        </w:rPr>
        <w:t xml:space="preserve">be used to </w:t>
      </w:r>
      <w:r w:rsidRPr="00DA68F3">
        <w:rPr>
          <w:rFonts w:ascii="Verdana" w:hAnsi="Verdana" w:cs="TimesNewRomanPS-ItalicMT"/>
          <w:iCs/>
          <w:sz w:val="18"/>
          <w:szCs w:val="18"/>
          <w:highlight w:val="yellow"/>
          <w:lang w:eastAsia="en-GB"/>
        </w:rPr>
        <w:t xml:space="preserve">declare </w:t>
      </w:r>
      <w:r w:rsidR="009D5C51">
        <w:rPr>
          <w:rFonts w:ascii="Verdana" w:hAnsi="Verdana" w:cs="TimesNewRomanPS-ItalicMT"/>
          <w:iCs/>
          <w:sz w:val="18"/>
          <w:szCs w:val="18"/>
          <w:highlight w:val="yellow"/>
          <w:lang w:eastAsia="en-GB"/>
        </w:rPr>
        <w:t xml:space="preserve">a detailed </w:t>
      </w:r>
      <w:r w:rsidRPr="00DA68F3">
        <w:rPr>
          <w:rFonts w:ascii="Verdana" w:hAnsi="Verdana" w:cs="TimesNewRomanPS-ItalicMT"/>
          <w:iCs/>
          <w:sz w:val="18"/>
          <w:szCs w:val="18"/>
          <w:highlight w:val="yellow"/>
          <w:lang w:eastAsia="en-GB"/>
        </w:rPr>
        <w:t xml:space="preserve">correspondence </w:t>
      </w:r>
      <w:r w:rsidR="009D5C51">
        <w:rPr>
          <w:rFonts w:ascii="Verdana" w:hAnsi="Verdana" w:cs="TimesNewRomanPS-ItalicMT"/>
          <w:iCs/>
          <w:sz w:val="18"/>
          <w:szCs w:val="18"/>
          <w:highlight w:val="yellow"/>
          <w:lang w:eastAsia="en-GB"/>
        </w:rPr>
        <w:t>between the GSPR and the clauses/sub-clauses of the standard. Please use</w:t>
      </w:r>
      <w:r w:rsidRPr="00DA68F3">
        <w:rPr>
          <w:rFonts w:ascii="Verdana" w:hAnsi="Verdana" w:cs="TimesNewRomanPS-ItalicMT"/>
          <w:iCs/>
          <w:sz w:val="18"/>
          <w:szCs w:val="18"/>
          <w:highlight w:val="yellow"/>
          <w:lang w:eastAsia="en-GB"/>
        </w:rPr>
        <w:t xml:space="preserve"> as many rows as needed).]</w:t>
      </w:r>
    </w:p>
    <w:p w14:paraId="35ED6B1E" w14:textId="77777777" w:rsidR="00DA68F3" w:rsidRDefault="00DA68F3" w:rsidP="00BF1D22">
      <w:pPr>
        <w:autoSpaceDE w:val="0"/>
        <w:autoSpaceDN w:val="0"/>
        <w:adjustRightInd w:val="0"/>
        <w:spacing w:after="0" w:line="240" w:lineRule="auto"/>
        <w:jc w:val="both"/>
        <w:rPr>
          <w:rFonts w:ascii="Verdana" w:hAnsi="Verdana" w:cs="TimesNewRomanPS-ItalicMT"/>
          <w:iCs/>
          <w:lang w:eastAsia="en-GB"/>
        </w:rPr>
      </w:pPr>
    </w:p>
    <w:p w14:paraId="70333A0F" w14:textId="77777777" w:rsidR="009371EC" w:rsidRPr="003B78FA" w:rsidRDefault="009371EC" w:rsidP="00BF1D22">
      <w:pPr>
        <w:autoSpaceDE w:val="0"/>
        <w:autoSpaceDN w:val="0"/>
        <w:adjustRightInd w:val="0"/>
        <w:spacing w:after="0" w:line="240" w:lineRule="auto"/>
        <w:jc w:val="both"/>
        <w:rPr>
          <w:rFonts w:ascii="Verdana" w:hAnsi="Verdana"/>
        </w:rPr>
      </w:pPr>
      <w:r w:rsidRPr="003B78FA">
        <w:rPr>
          <w:rFonts w:ascii="Verdana" w:hAnsi="Verdana" w:cs="TimesNewRomanPS-ItalicMT"/>
          <w:iCs/>
          <w:lang w:eastAsia="en-GB"/>
        </w:rPr>
        <w:t xml:space="preserve">WARNING 1: Presumption of conformity stays valid only </w:t>
      </w:r>
      <w:proofErr w:type="gramStart"/>
      <w:r w:rsidRPr="003B78FA">
        <w:rPr>
          <w:rFonts w:ascii="Verdana" w:hAnsi="Verdana" w:cs="TimesNewRomanPS-ItalicMT"/>
          <w:iCs/>
          <w:lang w:eastAsia="en-GB"/>
        </w:rPr>
        <w:t>as long as</w:t>
      </w:r>
      <w:proofErr w:type="gramEnd"/>
      <w:r w:rsidRPr="003B78FA">
        <w:rPr>
          <w:rFonts w:ascii="Verdana" w:hAnsi="Verdana" w:cs="TimesNewRomanPS-ItalicMT"/>
          <w:iCs/>
          <w:lang w:eastAsia="en-GB"/>
        </w:rPr>
        <w:t xml:space="preserve"> a reference to this European standard is maintained in the list published in the Official Journal of the </w:t>
      </w:r>
      <w:r w:rsidRPr="003B78FA">
        <w:rPr>
          <w:rFonts w:ascii="Verdana" w:hAnsi="Verdana"/>
        </w:rPr>
        <w:t>European Union. Users of this standard should consult frequently the latest list published in the Official Journal of the European Union.</w:t>
      </w:r>
    </w:p>
    <w:p w14:paraId="78473B52" w14:textId="77777777" w:rsidR="009371EC" w:rsidRPr="003B78FA" w:rsidRDefault="009371EC" w:rsidP="00BF1D22">
      <w:pPr>
        <w:autoSpaceDE w:val="0"/>
        <w:autoSpaceDN w:val="0"/>
        <w:adjustRightInd w:val="0"/>
        <w:spacing w:after="0" w:line="240" w:lineRule="auto"/>
        <w:jc w:val="both"/>
        <w:rPr>
          <w:rFonts w:ascii="Verdana" w:hAnsi="Verdana"/>
        </w:rPr>
      </w:pPr>
    </w:p>
    <w:p w14:paraId="5FBBABF4" w14:textId="77777777" w:rsidR="007A1462" w:rsidRDefault="009371EC" w:rsidP="00BF1D22">
      <w:pPr>
        <w:jc w:val="both"/>
        <w:rPr>
          <w:rFonts w:ascii="Verdana" w:hAnsi="Verdana"/>
        </w:rPr>
      </w:pPr>
      <w:r w:rsidRPr="009371EC">
        <w:rPr>
          <w:rFonts w:ascii="Verdana" w:hAnsi="Verdana"/>
        </w:rPr>
        <w:t xml:space="preserve">WARNING 2: Other Union legislation may </w:t>
      </w:r>
      <w:r w:rsidR="00AB679F">
        <w:rPr>
          <w:rFonts w:ascii="Verdana" w:hAnsi="Verdana"/>
        </w:rPr>
        <w:t xml:space="preserve">be applicable to the product(s) </w:t>
      </w:r>
      <w:r w:rsidRPr="009371EC">
        <w:rPr>
          <w:rFonts w:ascii="Verdana" w:hAnsi="Verdana"/>
        </w:rPr>
        <w:t>falling within the scope of this standard.</w:t>
      </w:r>
    </w:p>
    <w:p w14:paraId="3DC09086" w14:textId="2C3148E9" w:rsidR="0022767C" w:rsidRDefault="0022767C" w:rsidP="0022767C">
      <w:pPr>
        <w:jc w:val="both"/>
        <w:rPr>
          <w:rFonts w:ascii="Verdana" w:hAnsi="Verdana"/>
          <w:sz w:val="24"/>
          <w:szCs w:val="24"/>
        </w:rPr>
      </w:pPr>
      <w:r w:rsidRPr="003A3E09">
        <w:rPr>
          <w:rFonts w:ascii="Verdana" w:hAnsi="Verdana"/>
          <w:i/>
          <w:sz w:val="24"/>
          <w:szCs w:val="24"/>
          <w:shd w:val="clear" w:color="auto" w:fill="FF0000"/>
        </w:rPr>
        <w:t xml:space="preserve">If required </w:t>
      </w:r>
      <w:r w:rsidRPr="003A3E09">
        <w:rPr>
          <w:rFonts w:ascii="Verdana" w:hAnsi="Verdana"/>
          <w:sz w:val="24"/>
          <w:szCs w:val="24"/>
        </w:rPr>
        <w:t>For devices which are also machinery within the meaning of Article 2(a) of Directive 2006/42/EC on Machinery, in accordance with Article 1</w:t>
      </w:r>
      <w:r w:rsidR="00D070D1">
        <w:rPr>
          <w:rFonts w:ascii="Verdana" w:hAnsi="Verdana"/>
          <w:sz w:val="24"/>
          <w:szCs w:val="24"/>
        </w:rPr>
        <w:t>(</w:t>
      </w:r>
      <w:r w:rsidRPr="003A3E09">
        <w:rPr>
          <w:rFonts w:ascii="Verdana" w:hAnsi="Verdana"/>
          <w:sz w:val="24"/>
          <w:szCs w:val="24"/>
        </w:rPr>
        <w:t>12</w:t>
      </w:r>
      <w:r w:rsidR="00D070D1">
        <w:rPr>
          <w:rFonts w:ascii="Verdana" w:hAnsi="Verdana"/>
          <w:sz w:val="24"/>
          <w:szCs w:val="24"/>
        </w:rPr>
        <w:t>)</w:t>
      </w:r>
      <w:r w:rsidRPr="003A3E09">
        <w:rPr>
          <w:rFonts w:ascii="Verdana" w:hAnsi="Verdana"/>
          <w:sz w:val="24"/>
          <w:szCs w:val="24"/>
        </w:rPr>
        <w:t xml:space="preserve"> of Regulation (EU) 2017/745, the following Table ZA.2 details the relevant </w:t>
      </w:r>
      <w:r w:rsidR="00661440">
        <w:rPr>
          <w:rFonts w:ascii="Verdana" w:hAnsi="Verdana"/>
          <w:sz w:val="24"/>
          <w:szCs w:val="24"/>
        </w:rPr>
        <w:t>E</w:t>
      </w:r>
      <w:r w:rsidR="003A3E09" w:rsidRPr="003A3E09">
        <w:rPr>
          <w:rFonts w:ascii="Verdana" w:hAnsi="Verdana"/>
          <w:sz w:val="24"/>
          <w:szCs w:val="24"/>
        </w:rPr>
        <w:t xml:space="preserve">ssential </w:t>
      </w:r>
      <w:r w:rsidR="00661440">
        <w:rPr>
          <w:rFonts w:ascii="Verdana" w:hAnsi="Verdana"/>
          <w:sz w:val="24"/>
          <w:szCs w:val="24"/>
        </w:rPr>
        <w:t>H</w:t>
      </w:r>
      <w:r w:rsidR="003A3E09" w:rsidRPr="003A3E09">
        <w:rPr>
          <w:rFonts w:ascii="Verdana" w:hAnsi="Verdana"/>
          <w:sz w:val="24"/>
          <w:szCs w:val="24"/>
        </w:rPr>
        <w:t xml:space="preserve">ealth and </w:t>
      </w:r>
      <w:r w:rsidR="00661440">
        <w:rPr>
          <w:rFonts w:ascii="Verdana" w:hAnsi="Verdana"/>
          <w:sz w:val="24"/>
          <w:szCs w:val="24"/>
        </w:rPr>
        <w:t>S</w:t>
      </w:r>
      <w:r w:rsidR="003A3E09" w:rsidRPr="003A3E09">
        <w:rPr>
          <w:rFonts w:ascii="Verdana" w:hAnsi="Verdana"/>
          <w:sz w:val="24"/>
          <w:szCs w:val="24"/>
        </w:rPr>
        <w:t xml:space="preserve">afety </w:t>
      </w:r>
      <w:r w:rsidR="00661440">
        <w:rPr>
          <w:rFonts w:ascii="Verdana" w:hAnsi="Verdana"/>
          <w:sz w:val="24"/>
          <w:szCs w:val="24"/>
        </w:rPr>
        <w:t>R</w:t>
      </w:r>
      <w:r w:rsidR="003A3E09" w:rsidRPr="003A3E09">
        <w:rPr>
          <w:rFonts w:ascii="Verdana" w:hAnsi="Verdana"/>
          <w:sz w:val="24"/>
          <w:szCs w:val="24"/>
        </w:rPr>
        <w:t xml:space="preserve">equirements </w:t>
      </w:r>
      <w:r w:rsidRPr="003A3E09">
        <w:rPr>
          <w:rFonts w:ascii="Verdana" w:hAnsi="Verdana"/>
          <w:sz w:val="24"/>
          <w:szCs w:val="24"/>
        </w:rPr>
        <w:t xml:space="preserve">of Directive 2006/42/EC on Machinery to the extent to which they are more specific than </w:t>
      </w:r>
      <w:r w:rsidR="003A3E09" w:rsidRPr="003A3E09">
        <w:rPr>
          <w:rFonts w:ascii="Verdana" w:hAnsi="Verdana"/>
          <w:sz w:val="24"/>
          <w:szCs w:val="24"/>
        </w:rPr>
        <w:t xml:space="preserve">the </w:t>
      </w:r>
      <w:r w:rsidR="00661440">
        <w:rPr>
          <w:rFonts w:ascii="Verdana" w:hAnsi="Verdana"/>
          <w:sz w:val="24"/>
          <w:szCs w:val="24"/>
        </w:rPr>
        <w:t>G</w:t>
      </w:r>
      <w:r w:rsidR="003A3E09" w:rsidRPr="003A3E09">
        <w:rPr>
          <w:rFonts w:ascii="Verdana" w:hAnsi="Verdana"/>
          <w:sz w:val="24"/>
          <w:szCs w:val="24"/>
        </w:rPr>
        <w:t xml:space="preserve">eneral </w:t>
      </w:r>
      <w:r w:rsidR="00661440">
        <w:rPr>
          <w:rFonts w:ascii="Verdana" w:hAnsi="Verdana"/>
          <w:sz w:val="24"/>
          <w:szCs w:val="24"/>
        </w:rPr>
        <w:t>S</w:t>
      </w:r>
      <w:r w:rsidR="003A3E09" w:rsidRPr="003A3E09">
        <w:rPr>
          <w:rFonts w:ascii="Verdana" w:hAnsi="Verdana"/>
          <w:sz w:val="24"/>
          <w:szCs w:val="24"/>
        </w:rPr>
        <w:t xml:space="preserve">afety and </w:t>
      </w:r>
      <w:r w:rsidR="00661440">
        <w:rPr>
          <w:rFonts w:ascii="Verdana" w:hAnsi="Verdana"/>
          <w:sz w:val="24"/>
          <w:szCs w:val="24"/>
        </w:rPr>
        <w:t>P</w:t>
      </w:r>
      <w:r w:rsidR="003A3E09" w:rsidRPr="003A3E09">
        <w:rPr>
          <w:rFonts w:ascii="Verdana" w:hAnsi="Verdana"/>
          <w:sz w:val="24"/>
          <w:szCs w:val="24"/>
        </w:rPr>
        <w:t xml:space="preserve">erformance </w:t>
      </w:r>
      <w:r w:rsidR="00661440">
        <w:rPr>
          <w:rFonts w:ascii="Verdana" w:hAnsi="Verdana"/>
          <w:sz w:val="24"/>
          <w:szCs w:val="24"/>
        </w:rPr>
        <w:t>R</w:t>
      </w:r>
      <w:r w:rsidR="003A3E09" w:rsidRPr="003A3E09">
        <w:rPr>
          <w:rFonts w:ascii="Verdana" w:hAnsi="Verdana"/>
          <w:sz w:val="24"/>
          <w:szCs w:val="24"/>
        </w:rPr>
        <w:t xml:space="preserve">equirements set out in Chapter II of Annex I </w:t>
      </w:r>
      <w:r w:rsidRPr="003A3E09">
        <w:rPr>
          <w:rFonts w:ascii="Verdana" w:hAnsi="Verdana"/>
          <w:sz w:val="24"/>
          <w:szCs w:val="24"/>
        </w:rPr>
        <w:t>of Regulation (EU) 2017/745 along with the corresponding clauses of this European Standard. Table ZA.2, however, does not imply any citation in the OJEU under the machinery directive and thus does not provide presumption of conformity for the machinery directive.</w:t>
      </w:r>
    </w:p>
    <w:p w14:paraId="15DF0E68" w14:textId="0EB8D3BD" w:rsidR="00B30A44" w:rsidRDefault="00B30A44" w:rsidP="00B30A44">
      <w:pPr>
        <w:autoSpaceDE w:val="0"/>
        <w:autoSpaceDN w:val="0"/>
        <w:adjustRightInd w:val="0"/>
        <w:spacing w:after="0" w:line="240" w:lineRule="auto"/>
        <w:jc w:val="both"/>
        <w:rPr>
          <w:rFonts w:ascii="Verdana" w:hAnsi="Verdana" w:cs="TimesNewRomanPS-ItalicMT"/>
          <w:iCs/>
          <w:sz w:val="24"/>
          <w:szCs w:val="24"/>
          <w:lang w:eastAsia="en-GB"/>
        </w:rPr>
      </w:pPr>
      <w:r w:rsidRPr="00B12258">
        <w:rPr>
          <w:rFonts w:ascii="Verdana" w:hAnsi="Verdana" w:cs="TimesNewRomanPS-ItalicMT"/>
          <w:iCs/>
          <w:sz w:val="24"/>
          <w:szCs w:val="24"/>
          <w:lang w:eastAsia="en-GB"/>
        </w:rPr>
        <w:lastRenderedPageBreak/>
        <w:t xml:space="preserve">Where a definition in </w:t>
      </w:r>
      <w:r w:rsidR="003D3D20">
        <w:rPr>
          <w:rFonts w:ascii="Verdana" w:hAnsi="Verdana" w:cs="TimesNewRomanPS-ItalicMT"/>
          <w:iCs/>
          <w:sz w:val="24"/>
          <w:szCs w:val="24"/>
          <w:lang w:eastAsia="en-GB"/>
        </w:rPr>
        <w:t>this</w:t>
      </w:r>
      <w:r w:rsidRPr="00B12258">
        <w:rPr>
          <w:rFonts w:ascii="Verdana" w:hAnsi="Verdana" w:cs="TimesNewRomanPS-ItalicMT"/>
          <w:iCs/>
          <w:sz w:val="24"/>
          <w:szCs w:val="24"/>
          <w:lang w:eastAsia="en-GB"/>
        </w:rPr>
        <w:t xml:space="preserve"> standard differs from a definition of the same term set out in Regulation (EU) 2017/745, the differences shall be indicated in</w:t>
      </w:r>
      <w:r>
        <w:rPr>
          <w:rFonts w:ascii="Verdana" w:hAnsi="Verdana" w:cs="TimesNewRomanPS-ItalicMT"/>
          <w:iCs/>
          <w:sz w:val="24"/>
          <w:szCs w:val="24"/>
          <w:lang w:eastAsia="en-GB"/>
        </w:rPr>
        <w:t xml:space="preserve"> the Annex Z</w:t>
      </w:r>
      <w:r w:rsidRPr="00B12258">
        <w:rPr>
          <w:rFonts w:ascii="Verdana" w:hAnsi="Verdana" w:cs="TimesNewRomanPS-ItalicMT"/>
          <w:iCs/>
          <w:sz w:val="24"/>
          <w:szCs w:val="24"/>
          <w:lang w:eastAsia="en-GB"/>
        </w:rPr>
        <w:t xml:space="preserve">.  </w:t>
      </w:r>
      <w:proofErr w:type="gramStart"/>
      <w:r>
        <w:rPr>
          <w:rFonts w:ascii="Verdana" w:hAnsi="Verdana" w:cs="TimesNewRomanPS-ItalicMT"/>
          <w:iCs/>
          <w:sz w:val="24"/>
          <w:szCs w:val="24"/>
          <w:lang w:eastAsia="en-GB"/>
        </w:rPr>
        <w:t>F</w:t>
      </w:r>
      <w:r w:rsidRPr="00B12258">
        <w:rPr>
          <w:rFonts w:ascii="Verdana" w:hAnsi="Verdana" w:cs="TimesNewRomanPS-ItalicMT"/>
          <w:iCs/>
          <w:sz w:val="24"/>
          <w:szCs w:val="24"/>
          <w:lang w:eastAsia="en-GB"/>
        </w:rPr>
        <w:t>or the purpose of</w:t>
      </w:r>
      <w:proofErr w:type="gramEnd"/>
      <w:r w:rsidRPr="00B12258">
        <w:rPr>
          <w:rFonts w:ascii="Verdana" w:hAnsi="Verdana" w:cs="TimesNewRomanPS-ItalicMT"/>
          <w:iCs/>
          <w:sz w:val="24"/>
          <w:szCs w:val="24"/>
          <w:lang w:eastAsia="en-GB"/>
        </w:rPr>
        <w:t xml:space="preserve"> using th</w:t>
      </w:r>
      <w:r>
        <w:rPr>
          <w:rFonts w:ascii="Verdana" w:hAnsi="Verdana" w:cs="TimesNewRomanPS-ItalicMT"/>
          <w:iCs/>
          <w:sz w:val="24"/>
          <w:szCs w:val="24"/>
          <w:lang w:eastAsia="en-GB"/>
        </w:rPr>
        <w:t>is</w:t>
      </w:r>
      <w:r w:rsidRPr="00B12258">
        <w:rPr>
          <w:rFonts w:ascii="Verdana" w:hAnsi="Verdana" w:cs="TimesNewRomanPS-ItalicMT"/>
          <w:iCs/>
          <w:sz w:val="24"/>
          <w:szCs w:val="24"/>
          <w:lang w:eastAsia="en-GB"/>
        </w:rPr>
        <w:t xml:space="preserve"> standard in support of the requirements set out in Regulation (EU) 2017/745, the definitions set out in th</w:t>
      </w:r>
      <w:r w:rsidR="00365902">
        <w:rPr>
          <w:rFonts w:ascii="Verdana" w:hAnsi="Verdana" w:cs="TimesNewRomanPS-ItalicMT"/>
          <w:iCs/>
          <w:sz w:val="24"/>
          <w:szCs w:val="24"/>
          <w:lang w:eastAsia="en-GB"/>
        </w:rPr>
        <w:t>is</w:t>
      </w:r>
      <w:r w:rsidRPr="00B12258">
        <w:rPr>
          <w:rFonts w:ascii="Verdana" w:hAnsi="Verdana" w:cs="TimesNewRomanPS-ItalicMT"/>
          <w:iCs/>
          <w:sz w:val="24"/>
          <w:szCs w:val="24"/>
          <w:lang w:eastAsia="en-GB"/>
        </w:rPr>
        <w:t xml:space="preserve"> Regulation prevail.</w:t>
      </w:r>
    </w:p>
    <w:p w14:paraId="79C6E330" w14:textId="3C607C4A" w:rsidR="00B30A44" w:rsidRDefault="00B30A44" w:rsidP="0022767C">
      <w:pPr>
        <w:jc w:val="both"/>
        <w:rPr>
          <w:rFonts w:ascii="Verdana" w:hAnsi="Verdana"/>
          <w:sz w:val="24"/>
          <w:szCs w:val="24"/>
        </w:rPr>
      </w:pPr>
    </w:p>
    <w:p w14:paraId="499D8C48" w14:textId="037D0490" w:rsidR="006210B3" w:rsidRPr="00E51B4B" w:rsidRDefault="006210B3" w:rsidP="006210B3">
      <w:pPr>
        <w:autoSpaceDE w:val="0"/>
        <w:autoSpaceDN w:val="0"/>
        <w:adjustRightInd w:val="0"/>
        <w:spacing w:after="0" w:line="240" w:lineRule="auto"/>
        <w:jc w:val="both"/>
        <w:rPr>
          <w:rFonts w:ascii="Verdana" w:hAnsi="Verdana" w:cs="TimesNewRomanPS-ItalicMT"/>
          <w:iCs/>
          <w:sz w:val="24"/>
          <w:szCs w:val="24"/>
          <w:lang w:eastAsia="en-GB"/>
        </w:rPr>
      </w:pPr>
      <w:r w:rsidRPr="00E51B4B">
        <w:rPr>
          <w:rFonts w:ascii="Verdana" w:hAnsi="Verdana" w:cs="TimesNewRomanPS-ItalicMT"/>
          <w:iCs/>
          <w:sz w:val="24"/>
          <w:szCs w:val="24"/>
          <w:lang w:eastAsia="en-GB"/>
        </w:rPr>
        <w:t>Where the European standard is an adoption of an International Standard, the scope of this</w:t>
      </w:r>
      <w:r w:rsidR="000F2863" w:rsidRPr="00E51B4B">
        <w:rPr>
          <w:rFonts w:ascii="Verdana" w:hAnsi="Verdana" w:cs="TimesNewRomanPS-ItalicMT"/>
          <w:iCs/>
          <w:sz w:val="24"/>
          <w:szCs w:val="24"/>
          <w:lang w:eastAsia="en-GB"/>
        </w:rPr>
        <w:t xml:space="preserve"> standard</w:t>
      </w:r>
      <w:r w:rsidRPr="00E51B4B">
        <w:rPr>
          <w:rFonts w:ascii="Verdana" w:hAnsi="Verdana" w:cs="TimesNewRomanPS-ItalicMT"/>
          <w:iCs/>
          <w:sz w:val="24"/>
          <w:szCs w:val="24"/>
          <w:lang w:eastAsia="en-GB"/>
        </w:rPr>
        <w:t xml:space="preserve"> can differ from the scope of the European Regulation that it supports. As the scope of the applicable regulatory requirements differ from nation to nation and region to region</w:t>
      </w:r>
      <w:r w:rsidR="0074507D" w:rsidRPr="00E51B4B">
        <w:rPr>
          <w:rFonts w:ascii="Verdana" w:hAnsi="Verdana" w:cs="TimesNewRomanPS-ItalicMT"/>
          <w:iCs/>
          <w:sz w:val="24"/>
          <w:szCs w:val="24"/>
          <w:lang w:eastAsia="en-GB"/>
        </w:rPr>
        <w:t>, t</w:t>
      </w:r>
      <w:r w:rsidRPr="00E51B4B">
        <w:rPr>
          <w:rFonts w:ascii="Verdana" w:hAnsi="Verdana" w:cs="TimesNewRomanPS-ItalicMT"/>
          <w:iCs/>
          <w:sz w:val="24"/>
          <w:szCs w:val="24"/>
          <w:lang w:eastAsia="en-GB"/>
        </w:rPr>
        <w:t xml:space="preserve">he standard can only support European regulatory requirements to the extent of the scope of the European </w:t>
      </w:r>
      <w:r w:rsidR="00AC79DC">
        <w:rPr>
          <w:rFonts w:ascii="Verdana" w:hAnsi="Verdana" w:cs="TimesNewRomanPS-ItalicMT"/>
          <w:iCs/>
          <w:sz w:val="24"/>
          <w:szCs w:val="24"/>
          <w:lang w:eastAsia="en-GB"/>
        </w:rPr>
        <w:t>R</w:t>
      </w:r>
      <w:r w:rsidRPr="00E51B4B">
        <w:rPr>
          <w:rFonts w:ascii="Verdana" w:hAnsi="Verdana" w:cs="TimesNewRomanPS-ItalicMT"/>
          <w:iCs/>
          <w:sz w:val="24"/>
          <w:szCs w:val="24"/>
          <w:lang w:eastAsia="en-GB"/>
        </w:rPr>
        <w:t>egulation for medical devices (EU) 2017/745).</w:t>
      </w:r>
    </w:p>
    <w:p w14:paraId="5C8CEE56" w14:textId="77777777" w:rsidR="006210B3" w:rsidRDefault="006210B3" w:rsidP="0022767C">
      <w:pPr>
        <w:jc w:val="both"/>
        <w:rPr>
          <w:rFonts w:ascii="Verdana" w:hAnsi="Verdana"/>
          <w:sz w:val="24"/>
          <w:szCs w:val="24"/>
        </w:rPr>
      </w:pPr>
    </w:p>
    <w:p w14:paraId="1F753933" w14:textId="49E60EAB" w:rsidR="003A3E09" w:rsidRDefault="003A3E09" w:rsidP="003A3E09">
      <w:pPr>
        <w:jc w:val="center"/>
        <w:rPr>
          <w:rFonts w:ascii="Verdana" w:hAnsi="Verdana"/>
          <w:b/>
          <w:sz w:val="24"/>
          <w:szCs w:val="24"/>
        </w:rPr>
      </w:pPr>
      <w:r w:rsidRPr="003A3E09">
        <w:rPr>
          <w:rFonts w:ascii="Verdana" w:hAnsi="Verdana"/>
          <w:b/>
          <w:sz w:val="24"/>
          <w:szCs w:val="24"/>
        </w:rPr>
        <w:t xml:space="preserve">Table ZA.2 — Relevant Essential </w:t>
      </w:r>
      <w:r w:rsidR="00661440" w:rsidRPr="00661440">
        <w:rPr>
          <w:rFonts w:ascii="Verdana" w:hAnsi="Verdana"/>
          <w:b/>
          <w:sz w:val="24"/>
          <w:szCs w:val="24"/>
        </w:rPr>
        <w:t xml:space="preserve">Health and Safety </w:t>
      </w:r>
      <w:r w:rsidRPr="003A3E09">
        <w:rPr>
          <w:rFonts w:ascii="Verdana" w:hAnsi="Verdana"/>
          <w:b/>
          <w:sz w:val="24"/>
          <w:szCs w:val="24"/>
        </w:rPr>
        <w:t>Requirements from Directive 2006/42/EC on machinery that are addressed by this Document (according to article 1, item 12, of Regulation (EU) 2017/745)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3A3E09" w:rsidRPr="000F3834" w14:paraId="2266C78F" w14:textId="77777777" w:rsidTr="00320918">
        <w:tc>
          <w:tcPr>
            <w:tcW w:w="3192" w:type="dxa"/>
            <w:shd w:val="clear" w:color="auto" w:fill="auto"/>
            <w:vAlign w:val="center"/>
          </w:tcPr>
          <w:p w14:paraId="6F202F2B" w14:textId="3A91255F" w:rsidR="003A3E09" w:rsidRPr="000F3834" w:rsidRDefault="003A3E09" w:rsidP="00320918">
            <w:pPr>
              <w:autoSpaceDE w:val="0"/>
              <w:autoSpaceDN w:val="0"/>
              <w:adjustRightInd w:val="0"/>
              <w:spacing w:after="0" w:line="240" w:lineRule="auto"/>
              <w:jc w:val="center"/>
              <w:rPr>
                <w:rFonts w:ascii="Verdana" w:hAnsi="Verdana" w:cs="TimesNewRomanPS-BoldItalicMT"/>
                <w:b/>
                <w:bCs/>
                <w:i/>
                <w:iCs/>
                <w:sz w:val="24"/>
                <w:szCs w:val="24"/>
                <w:lang w:eastAsia="en-GB"/>
              </w:rPr>
            </w:pPr>
            <w:r>
              <w:rPr>
                <w:rFonts w:ascii="Verdana" w:hAnsi="Verdana"/>
                <w:sz w:val="24"/>
                <w:szCs w:val="24"/>
              </w:rPr>
              <w:t>E</w:t>
            </w:r>
            <w:r w:rsidRPr="003A3E09">
              <w:rPr>
                <w:rFonts w:ascii="Verdana" w:hAnsi="Verdana"/>
                <w:sz w:val="24"/>
                <w:szCs w:val="24"/>
              </w:rPr>
              <w:t xml:space="preserve">ssential </w:t>
            </w:r>
            <w:r>
              <w:rPr>
                <w:rFonts w:ascii="Verdana" w:hAnsi="Verdana"/>
                <w:sz w:val="24"/>
                <w:szCs w:val="24"/>
              </w:rPr>
              <w:t>H</w:t>
            </w:r>
            <w:r w:rsidRPr="003A3E09">
              <w:rPr>
                <w:rFonts w:ascii="Verdana" w:hAnsi="Verdana"/>
                <w:sz w:val="24"/>
                <w:szCs w:val="24"/>
              </w:rPr>
              <w:t xml:space="preserve">ealth and </w:t>
            </w:r>
            <w:r>
              <w:rPr>
                <w:rFonts w:ascii="Verdana" w:hAnsi="Verdana"/>
                <w:sz w:val="24"/>
                <w:szCs w:val="24"/>
              </w:rPr>
              <w:t>S</w:t>
            </w:r>
            <w:r w:rsidRPr="003A3E09">
              <w:rPr>
                <w:rFonts w:ascii="Verdana" w:hAnsi="Verdana"/>
                <w:sz w:val="24"/>
                <w:szCs w:val="24"/>
              </w:rPr>
              <w:t xml:space="preserve">afety </w:t>
            </w:r>
            <w:r>
              <w:rPr>
                <w:rFonts w:ascii="Verdana" w:hAnsi="Verdana"/>
                <w:sz w:val="24"/>
                <w:szCs w:val="24"/>
              </w:rPr>
              <w:t>R</w:t>
            </w:r>
            <w:r w:rsidRPr="003A3E09">
              <w:rPr>
                <w:rFonts w:ascii="Verdana" w:hAnsi="Verdana"/>
                <w:sz w:val="24"/>
                <w:szCs w:val="24"/>
              </w:rPr>
              <w:t xml:space="preserve">equirements of </w:t>
            </w:r>
            <w:r w:rsidR="005C007C" w:rsidRPr="005C007C">
              <w:rPr>
                <w:rFonts w:ascii="Verdana" w:hAnsi="Verdana"/>
                <w:sz w:val="24"/>
                <w:szCs w:val="24"/>
              </w:rPr>
              <w:t>Directive 2006/42/EC</w:t>
            </w:r>
          </w:p>
        </w:tc>
        <w:tc>
          <w:tcPr>
            <w:tcW w:w="3192" w:type="dxa"/>
            <w:shd w:val="clear" w:color="auto" w:fill="auto"/>
            <w:vAlign w:val="center"/>
          </w:tcPr>
          <w:p w14:paraId="40BE7610" w14:textId="77777777" w:rsidR="003A3E09" w:rsidRPr="000F3834" w:rsidRDefault="003A3E09" w:rsidP="00320918">
            <w:pPr>
              <w:autoSpaceDE w:val="0"/>
              <w:autoSpaceDN w:val="0"/>
              <w:adjustRightInd w:val="0"/>
              <w:spacing w:after="0" w:line="240" w:lineRule="auto"/>
              <w:jc w:val="center"/>
              <w:rPr>
                <w:rFonts w:ascii="Verdana" w:hAnsi="Verdana" w:cs="TimesNewRomanPS-ItalicMT"/>
                <w:iCs/>
                <w:sz w:val="24"/>
                <w:szCs w:val="24"/>
                <w:lang w:eastAsia="en-GB"/>
              </w:rPr>
            </w:pPr>
            <w:r w:rsidRPr="000F3834">
              <w:rPr>
                <w:rFonts w:ascii="Verdana" w:hAnsi="Verdana" w:cs="TimesNewRomanPS-ItalicMT"/>
                <w:iCs/>
                <w:sz w:val="24"/>
                <w:szCs w:val="24"/>
                <w:lang w:eastAsia="en-GB"/>
              </w:rPr>
              <w:t>Clause(s) / sub-clause(s)</w:t>
            </w:r>
          </w:p>
          <w:p w14:paraId="65C41DF3" w14:textId="77777777" w:rsidR="003A3E09" w:rsidRPr="000F3834" w:rsidRDefault="003A3E09" w:rsidP="00320918">
            <w:pPr>
              <w:autoSpaceDE w:val="0"/>
              <w:autoSpaceDN w:val="0"/>
              <w:adjustRightInd w:val="0"/>
              <w:spacing w:after="0" w:line="240" w:lineRule="auto"/>
              <w:jc w:val="center"/>
              <w:rPr>
                <w:rFonts w:ascii="Verdana" w:hAnsi="Verdana" w:cs="TimesNewRomanPS-BoldItalicMT"/>
                <w:b/>
                <w:bCs/>
                <w:iCs/>
                <w:sz w:val="24"/>
                <w:szCs w:val="24"/>
                <w:lang w:eastAsia="en-GB"/>
              </w:rPr>
            </w:pPr>
            <w:r w:rsidRPr="000F3834">
              <w:rPr>
                <w:rFonts w:ascii="Verdana" w:hAnsi="Verdana" w:cs="TimesNewRomanPS-ItalicMT"/>
                <w:iCs/>
                <w:sz w:val="24"/>
                <w:szCs w:val="24"/>
                <w:lang w:eastAsia="en-GB"/>
              </w:rPr>
              <w:t>of this EN</w:t>
            </w:r>
          </w:p>
        </w:tc>
        <w:tc>
          <w:tcPr>
            <w:tcW w:w="3192" w:type="dxa"/>
            <w:shd w:val="clear" w:color="auto" w:fill="auto"/>
            <w:vAlign w:val="center"/>
          </w:tcPr>
          <w:p w14:paraId="2FBDE0D3" w14:textId="77777777" w:rsidR="003A3E09" w:rsidRPr="000F3834" w:rsidRDefault="003A3E09" w:rsidP="00320918">
            <w:pPr>
              <w:autoSpaceDE w:val="0"/>
              <w:autoSpaceDN w:val="0"/>
              <w:adjustRightInd w:val="0"/>
              <w:spacing w:after="0" w:line="240" w:lineRule="auto"/>
              <w:jc w:val="center"/>
              <w:rPr>
                <w:rFonts w:ascii="Verdana" w:hAnsi="Verdana" w:cs="TimesNewRomanPS-BoldItalicMT"/>
                <w:b/>
                <w:bCs/>
                <w:iCs/>
                <w:sz w:val="24"/>
                <w:szCs w:val="24"/>
                <w:lang w:eastAsia="en-GB"/>
              </w:rPr>
            </w:pPr>
            <w:r w:rsidRPr="000F3834">
              <w:rPr>
                <w:rFonts w:ascii="Verdana" w:hAnsi="Verdana" w:cs="TimesNewRomanPS-ItalicMT"/>
                <w:iCs/>
                <w:sz w:val="24"/>
                <w:szCs w:val="24"/>
                <w:lang w:eastAsia="en-GB"/>
              </w:rPr>
              <w:t>Remarks / Notes</w:t>
            </w:r>
          </w:p>
        </w:tc>
      </w:tr>
      <w:tr w:rsidR="003A3E09" w:rsidRPr="000F3834" w14:paraId="76EBD8CB" w14:textId="77777777" w:rsidTr="00320918">
        <w:tc>
          <w:tcPr>
            <w:tcW w:w="3192" w:type="dxa"/>
            <w:shd w:val="clear" w:color="auto" w:fill="auto"/>
          </w:tcPr>
          <w:p w14:paraId="5C0288AC" w14:textId="77777777" w:rsidR="003A3E09" w:rsidRDefault="003A3E09" w:rsidP="00320918">
            <w:pPr>
              <w:pStyle w:val="Tabletext9"/>
              <w:spacing w:before="0" w:after="0" w:line="240" w:lineRule="auto"/>
              <w:jc w:val="left"/>
              <w:rPr>
                <w:rFonts w:ascii="Verdana" w:hAnsi="Verdana"/>
                <w:i/>
                <w:szCs w:val="18"/>
              </w:rPr>
            </w:pPr>
            <w:r>
              <w:rPr>
                <w:rFonts w:ascii="Verdana" w:hAnsi="Verdana"/>
                <w:i/>
                <w:szCs w:val="18"/>
              </w:rPr>
              <w:t>[Only one EHSR per row]</w:t>
            </w:r>
          </w:p>
          <w:p w14:paraId="68421283" w14:textId="77777777" w:rsidR="003A3E09" w:rsidRPr="000F3834" w:rsidRDefault="003A3E09" w:rsidP="00320918">
            <w:pPr>
              <w:autoSpaceDE w:val="0"/>
              <w:autoSpaceDN w:val="0"/>
              <w:adjustRightInd w:val="0"/>
              <w:spacing w:after="0" w:line="240" w:lineRule="auto"/>
              <w:rPr>
                <w:rFonts w:ascii="Verdana" w:hAnsi="Verdana" w:cs="TimesNewRomanPS-BoldItalicMT"/>
                <w:b/>
                <w:bCs/>
                <w:iCs/>
                <w:sz w:val="24"/>
                <w:szCs w:val="24"/>
                <w:lang w:eastAsia="en-GB"/>
              </w:rPr>
            </w:pPr>
            <w:r>
              <w:rPr>
                <w:rFonts w:ascii="Verdana" w:hAnsi="Verdana"/>
                <w:i/>
                <w:sz w:val="18"/>
                <w:szCs w:val="18"/>
              </w:rPr>
              <w:t>[Rows ordered according to the numerical order of the EHSRs]</w:t>
            </w:r>
          </w:p>
        </w:tc>
        <w:tc>
          <w:tcPr>
            <w:tcW w:w="3192" w:type="dxa"/>
            <w:shd w:val="clear" w:color="auto" w:fill="auto"/>
          </w:tcPr>
          <w:p w14:paraId="49CD183C" w14:textId="77777777" w:rsidR="003A3E09" w:rsidRPr="000F3834" w:rsidRDefault="003A3E09" w:rsidP="00320918">
            <w:pPr>
              <w:autoSpaceDE w:val="0"/>
              <w:autoSpaceDN w:val="0"/>
              <w:adjustRightInd w:val="0"/>
              <w:spacing w:after="0" w:line="240" w:lineRule="auto"/>
              <w:rPr>
                <w:rFonts w:ascii="Verdana" w:hAnsi="Verdana" w:cs="TimesNewRomanPS-BoldItalicMT"/>
                <w:b/>
                <w:bCs/>
                <w:iCs/>
                <w:sz w:val="24"/>
                <w:szCs w:val="24"/>
                <w:lang w:eastAsia="en-GB"/>
              </w:rPr>
            </w:pPr>
          </w:p>
        </w:tc>
        <w:tc>
          <w:tcPr>
            <w:tcW w:w="3192" w:type="dxa"/>
            <w:shd w:val="clear" w:color="auto" w:fill="auto"/>
          </w:tcPr>
          <w:p w14:paraId="5C279E2C" w14:textId="77777777" w:rsidR="003A3E09" w:rsidRPr="00932D62" w:rsidRDefault="003A3E09" w:rsidP="00320918">
            <w:pPr>
              <w:autoSpaceDE w:val="0"/>
              <w:autoSpaceDN w:val="0"/>
              <w:adjustRightInd w:val="0"/>
              <w:spacing w:after="0" w:line="240" w:lineRule="auto"/>
              <w:rPr>
                <w:rFonts w:ascii="Verdana" w:hAnsi="Verdana" w:cs="TimesNewRomanPS-BoldItalicMT"/>
                <w:b/>
                <w:bCs/>
                <w:iCs/>
                <w:sz w:val="18"/>
                <w:szCs w:val="18"/>
                <w:lang w:eastAsia="en-GB"/>
              </w:rPr>
            </w:pPr>
            <w:r w:rsidRPr="00932D62">
              <w:rPr>
                <w:rFonts w:ascii="Verdana" w:hAnsi="Verdana"/>
                <w:i/>
                <w:sz w:val="18"/>
                <w:szCs w:val="18"/>
              </w:rPr>
              <w:t>[To be filled in with any explanations needed to clarify the coverage of the E</w:t>
            </w:r>
            <w:r>
              <w:rPr>
                <w:rFonts w:ascii="Verdana" w:hAnsi="Verdana"/>
                <w:i/>
                <w:sz w:val="18"/>
                <w:szCs w:val="18"/>
              </w:rPr>
              <w:t>HS</w:t>
            </w:r>
            <w:r w:rsidRPr="00932D62">
              <w:rPr>
                <w:rFonts w:ascii="Verdana" w:hAnsi="Verdana"/>
                <w:i/>
                <w:sz w:val="18"/>
                <w:szCs w:val="18"/>
              </w:rPr>
              <w:t>R.]</w:t>
            </w:r>
          </w:p>
        </w:tc>
      </w:tr>
      <w:tr w:rsidR="003A3E09" w:rsidRPr="000F3834" w14:paraId="0B06C0A7" w14:textId="77777777" w:rsidTr="00320918">
        <w:tc>
          <w:tcPr>
            <w:tcW w:w="3192" w:type="dxa"/>
            <w:shd w:val="clear" w:color="auto" w:fill="auto"/>
          </w:tcPr>
          <w:p w14:paraId="50E8E9A4" w14:textId="77777777" w:rsidR="003A3E09" w:rsidRPr="000F3834" w:rsidRDefault="003A3E09" w:rsidP="00320918">
            <w:pPr>
              <w:autoSpaceDE w:val="0"/>
              <w:autoSpaceDN w:val="0"/>
              <w:adjustRightInd w:val="0"/>
              <w:spacing w:after="0" w:line="240" w:lineRule="auto"/>
              <w:rPr>
                <w:rFonts w:ascii="Verdana" w:hAnsi="Verdana" w:cs="TimesNewRomanPS-BoldItalicMT"/>
                <w:b/>
                <w:bCs/>
                <w:iCs/>
                <w:sz w:val="24"/>
                <w:szCs w:val="24"/>
                <w:lang w:eastAsia="en-GB"/>
              </w:rPr>
            </w:pPr>
          </w:p>
        </w:tc>
        <w:tc>
          <w:tcPr>
            <w:tcW w:w="3192" w:type="dxa"/>
            <w:shd w:val="clear" w:color="auto" w:fill="auto"/>
          </w:tcPr>
          <w:p w14:paraId="12582933" w14:textId="77777777" w:rsidR="003A3E09" w:rsidRPr="000F3834" w:rsidRDefault="003A3E09" w:rsidP="00320918">
            <w:pPr>
              <w:autoSpaceDE w:val="0"/>
              <w:autoSpaceDN w:val="0"/>
              <w:adjustRightInd w:val="0"/>
              <w:spacing w:after="0" w:line="240" w:lineRule="auto"/>
              <w:rPr>
                <w:rFonts w:ascii="Verdana" w:hAnsi="Verdana" w:cs="TimesNewRomanPS-BoldItalicMT"/>
                <w:b/>
                <w:bCs/>
                <w:iCs/>
                <w:sz w:val="24"/>
                <w:szCs w:val="24"/>
                <w:lang w:eastAsia="en-GB"/>
              </w:rPr>
            </w:pPr>
          </w:p>
        </w:tc>
        <w:tc>
          <w:tcPr>
            <w:tcW w:w="3192" w:type="dxa"/>
            <w:shd w:val="clear" w:color="auto" w:fill="auto"/>
          </w:tcPr>
          <w:p w14:paraId="5B313D3A" w14:textId="77777777" w:rsidR="003A3E09" w:rsidRPr="000F3834" w:rsidRDefault="003A3E09" w:rsidP="00320918">
            <w:pPr>
              <w:autoSpaceDE w:val="0"/>
              <w:autoSpaceDN w:val="0"/>
              <w:adjustRightInd w:val="0"/>
              <w:spacing w:after="0" w:line="240" w:lineRule="auto"/>
              <w:rPr>
                <w:rFonts w:ascii="Verdana" w:hAnsi="Verdana" w:cs="TimesNewRomanPS-BoldItalicMT"/>
                <w:b/>
                <w:bCs/>
                <w:iCs/>
                <w:sz w:val="24"/>
                <w:szCs w:val="24"/>
                <w:lang w:eastAsia="en-GB"/>
              </w:rPr>
            </w:pPr>
          </w:p>
        </w:tc>
      </w:tr>
    </w:tbl>
    <w:p w14:paraId="1D196D55" w14:textId="77777777" w:rsidR="003A3E09" w:rsidRDefault="003A3E09" w:rsidP="003A3E09">
      <w:pPr>
        <w:jc w:val="center"/>
        <w:rPr>
          <w:rFonts w:ascii="Verdana" w:hAnsi="Verdana"/>
          <w:b/>
          <w:sz w:val="24"/>
          <w:szCs w:val="24"/>
        </w:rPr>
      </w:pPr>
    </w:p>
    <w:p w14:paraId="7384253A" w14:textId="77777777" w:rsidR="00C80C63" w:rsidRDefault="00C80C63" w:rsidP="003A3E09">
      <w:pPr>
        <w:jc w:val="center"/>
        <w:rPr>
          <w:rFonts w:ascii="Verdana" w:hAnsi="Verdana"/>
          <w:b/>
          <w:sz w:val="24"/>
          <w:szCs w:val="24"/>
        </w:rPr>
      </w:pPr>
    </w:p>
    <w:p w14:paraId="2F95099F" w14:textId="77777777" w:rsidR="00C80C63" w:rsidRDefault="00C80C63" w:rsidP="003A3E09">
      <w:pPr>
        <w:jc w:val="center"/>
        <w:rPr>
          <w:rFonts w:ascii="Verdana" w:hAnsi="Verdana"/>
          <w:b/>
          <w:sz w:val="24"/>
          <w:szCs w:val="24"/>
        </w:rPr>
      </w:pPr>
    </w:p>
    <w:p w14:paraId="467AC921" w14:textId="40210248" w:rsidR="0010788C" w:rsidRDefault="0010788C">
      <w:pPr>
        <w:spacing w:after="0" w:line="240" w:lineRule="auto"/>
        <w:rPr>
          <w:rFonts w:ascii="Verdana" w:hAnsi="Verdana" w:cs="TimesNewRomanPS-BoldItalicMT"/>
          <w:b/>
          <w:bCs/>
          <w:iCs/>
          <w:sz w:val="24"/>
          <w:szCs w:val="24"/>
          <w:lang w:eastAsia="en-GB"/>
        </w:rPr>
      </w:pPr>
    </w:p>
    <w:sectPr w:rsidR="0010788C" w:rsidSect="00E3198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709"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75823" w14:textId="77777777" w:rsidR="00040F2C" w:rsidRDefault="00040F2C" w:rsidP="00C13029">
      <w:pPr>
        <w:spacing w:after="0" w:line="240" w:lineRule="auto"/>
      </w:pPr>
      <w:r>
        <w:separator/>
      </w:r>
    </w:p>
  </w:endnote>
  <w:endnote w:type="continuationSeparator" w:id="0">
    <w:p w14:paraId="502AAD23" w14:textId="77777777" w:rsidR="00040F2C" w:rsidRDefault="00040F2C" w:rsidP="00C13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NewRomanPS-BoldItalic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B2E4E" w14:textId="77777777" w:rsidR="00C0126F" w:rsidRDefault="00C012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6BF78" w14:textId="77777777" w:rsidR="00C0126F" w:rsidRDefault="00C012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BDEB0" w14:textId="77777777" w:rsidR="00C0126F" w:rsidRDefault="00C012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FBF84" w14:textId="77777777" w:rsidR="00040F2C" w:rsidRDefault="00040F2C" w:rsidP="00C13029">
      <w:pPr>
        <w:spacing w:after="0" w:line="240" w:lineRule="auto"/>
      </w:pPr>
      <w:r>
        <w:separator/>
      </w:r>
    </w:p>
  </w:footnote>
  <w:footnote w:type="continuationSeparator" w:id="0">
    <w:p w14:paraId="364DE967" w14:textId="77777777" w:rsidR="00040F2C" w:rsidRDefault="00040F2C" w:rsidP="00C130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F5B7C" w14:textId="77777777" w:rsidR="00C0126F" w:rsidRDefault="00C012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5FBC7" w14:textId="77777777" w:rsidR="00C13029" w:rsidRDefault="00C13029" w:rsidP="00C13029">
    <w:pPr>
      <w:pStyle w:val="Header"/>
      <w:ind w:left="72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CBE6F" w14:textId="77777777" w:rsidR="00C0126F" w:rsidRDefault="00C012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E0D48"/>
    <w:multiLevelType w:val="hybridMultilevel"/>
    <w:tmpl w:val="945C387C"/>
    <w:lvl w:ilvl="0" w:tplc="5F8047D2">
      <w:start w:val="1"/>
      <w:numFmt w:val="bullet"/>
      <w:lvlText w:val=""/>
      <w:lvlJc w:val="left"/>
      <w:pPr>
        <w:ind w:left="720" w:hanging="360"/>
      </w:pPr>
      <w:rPr>
        <w:rFonts w:ascii="Symbol" w:hAnsi="Symbol" w:hint="default"/>
        <w:sz w:val="18"/>
        <w:szCs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9371EC"/>
    <w:rsid w:val="0002267F"/>
    <w:rsid w:val="00040F2C"/>
    <w:rsid w:val="000508EC"/>
    <w:rsid w:val="00061F21"/>
    <w:rsid w:val="00065CCB"/>
    <w:rsid w:val="000F2863"/>
    <w:rsid w:val="000F3834"/>
    <w:rsid w:val="00106501"/>
    <w:rsid w:val="0010788C"/>
    <w:rsid w:val="00122A63"/>
    <w:rsid w:val="00127A90"/>
    <w:rsid w:val="0017157A"/>
    <w:rsid w:val="001A765D"/>
    <w:rsid w:val="001B7C57"/>
    <w:rsid w:val="001E5C3F"/>
    <w:rsid w:val="00213313"/>
    <w:rsid w:val="00215CEB"/>
    <w:rsid w:val="0022767C"/>
    <w:rsid w:val="002543E2"/>
    <w:rsid w:val="00257505"/>
    <w:rsid w:val="002C0708"/>
    <w:rsid w:val="00365902"/>
    <w:rsid w:val="003A3E09"/>
    <w:rsid w:val="003B78FA"/>
    <w:rsid w:val="003D3D20"/>
    <w:rsid w:val="003F3F2F"/>
    <w:rsid w:val="004013EE"/>
    <w:rsid w:val="004041D0"/>
    <w:rsid w:val="00425952"/>
    <w:rsid w:val="00496797"/>
    <w:rsid w:val="004C13D8"/>
    <w:rsid w:val="00507447"/>
    <w:rsid w:val="00511A41"/>
    <w:rsid w:val="00514414"/>
    <w:rsid w:val="005A6520"/>
    <w:rsid w:val="005C007C"/>
    <w:rsid w:val="005D7DE7"/>
    <w:rsid w:val="00613AC2"/>
    <w:rsid w:val="006210B3"/>
    <w:rsid w:val="00661440"/>
    <w:rsid w:val="00683E5F"/>
    <w:rsid w:val="00693260"/>
    <w:rsid w:val="006A5766"/>
    <w:rsid w:val="006D2C8A"/>
    <w:rsid w:val="006D699E"/>
    <w:rsid w:val="006F4722"/>
    <w:rsid w:val="007258F3"/>
    <w:rsid w:val="00725FE4"/>
    <w:rsid w:val="0074507D"/>
    <w:rsid w:val="00765036"/>
    <w:rsid w:val="007765A3"/>
    <w:rsid w:val="007A1462"/>
    <w:rsid w:val="007A3F79"/>
    <w:rsid w:val="007A4658"/>
    <w:rsid w:val="007B511A"/>
    <w:rsid w:val="007E7AE9"/>
    <w:rsid w:val="00801162"/>
    <w:rsid w:val="00805D14"/>
    <w:rsid w:val="0081258C"/>
    <w:rsid w:val="00932D62"/>
    <w:rsid w:val="009371EC"/>
    <w:rsid w:val="00981371"/>
    <w:rsid w:val="00984F9D"/>
    <w:rsid w:val="00996ACC"/>
    <w:rsid w:val="009A03A4"/>
    <w:rsid w:val="009A2F52"/>
    <w:rsid w:val="009D5C51"/>
    <w:rsid w:val="00A54035"/>
    <w:rsid w:val="00A663AC"/>
    <w:rsid w:val="00A83AF8"/>
    <w:rsid w:val="00AA2B39"/>
    <w:rsid w:val="00AB679F"/>
    <w:rsid w:val="00AC79DC"/>
    <w:rsid w:val="00B03D4A"/>
    <w:rsid w:val="00B12258"/>
    <w:rsid w:val="00B30A44"/>
    <w:rsid w:val="00B33BAF"/>
    <w:rsid w:val="00B6362C"/>
    <w:rsid w:val="00B7687F"/>
    <w:rsid w:val="00BA48EF"/>
    <w:rsid w:val="00BF1D22"/>
    <w:rsid w:val="00C0126F"/>
    <w:rsid w:val="00C13029"/>
    <w:rsid w:val="00C80C63"/>
    <w:rsid w:val="00C93C5F"/>
    <w:rsid w:val="00CD0604"/>
    <w:rsid w:val="00CE64F6"/>
    <w:rsid w:val="00D070D1"/>
    <w:rsid w:val="00D3483A"/>
    <w:rsid w:val="00D34E3F"/>
    <w:rsid w:val="00DA68F3"/>
    <w:rsid w:val="00E17E95"/>
    <w:rsid w:val="00E24521"/>
    <w:rsid w:val="00E3198D"/>
    <w:rsid w:val="00E42C96"/>
    <w:rsid w:val="00E51B4B"/>
    <w:rsid w:val="00E55349"/>
    <w:rsid w:val="00EA4920"/>
    <w:rsid w:val="00EA7C26"/>
    <w:rsid w:val="00ED68A9"/>
    <w:rsid w:val="00F0589F"/>
    <w:rsid w:val="00F27CBB"/>
    <w:rsid w:val="00F44967"/>
    <w:rsid w:val="00F50316"/>
    <w:rsid w:val="00F97C25"/>
    <w:rsid w:val="00FB3E8C"/>
    <w:rsid w:val="00FD0B88"/>
    <w:rsid w:val="00FF1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634F8"/>
  <w15:docId w15:val="{9F4E2E18-1B4A-4460-BC8F-E9047C3E6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A4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7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3029"/>
    <w:pPr>
      <w:tabs>
        <w:tab w:val="center" w:pos="4513"/>
        <w:tab w:val="right" w:pos="9026"/>
      </w:tabs>
    </w:pPr>
  </w:style>
  <w:style w:type="character" w:customStyle="1" w:styleId="HeaderChar">
    <w:name w:val="Header Char"/>
    <w:basedOn w:val="DefaultParagraphFont"/>
    <w:link w:val="Header"/>
    <w:uiPriority w:val="99"/>
    <w:rsid w:val="00C13029"/>
    <w:rPr>
      <w:sz w:val="22"/>
      <w:szCs w:val="22"/>
      <w:lang w:eastAsia="en-US"/>
    </w:rPr>
  </w:style>
  <w:style w:type="paragraph" w:styleId="Footer">
    <w:name w:val="footer"/>
    <w:basedOn w:val="Normal"/>
    <w:link w:val="FooterChar"/>
    <w:uiPriority w:val="99"/>
    <w:unhideWhenUsed/>
    <w:rsid w:val="00C13029"/>
    <w:pPr>
      <w:tabs>
        <w:tab w:val="center" w:pos="4513"/>
        <w:tab w:val="right" w:pos="9026"/>
      </w:tabs>
    </w:pPr>
  </w:style>
  <w:style w:type="character" w:customStyle="1" w:styleId="FooterChar">
    <w:name w:val="Footer Char"/>
    <w:basedOn w:val="DefaultParagraphFont"/>
    <w:link w:val="Footer"/>
    <w:uiPriority w:val="99"/>
    <w:rsid w:val="00C13029"/>
    <w:rPr>
      <w:sz w:val="22"/>
      <w:szCs w:val="22"/>
      <w:lang w:eastAsia="en-US"/>
    </w:rPr>
  </w:style>
  <w:style w:type="paragraph" w:styleId="FootnoteText">
    <w:name w:val="footnote text"/>
    <w:basedOn w:val="Normal"/>
    <w:link w:val="FootnoteTextChar"/>
    <w:uiPriority w:val="99"/>
    <w:semiHidden/>
    <w:unhideWhenUsed/>
    <w:rsid w:val="007B511A"/>
    <w:rPr>
      <w:sz w:val="20"/>
      <w:szCs w:val="20"/>
    </w:rPr>
  </w:style>
  <w:style w:type="character" w:customStyle="1" w:styleId="FootnoteTextChar">
    <w:name w:val="Footnote Text Char"/>
    <w:basedOn w:val="DefaultParagraphFont"/>
    <w:link w:val="FootnoteText"/>
    <w:uiPriority w:val="99"/>
    <w:semiHidden/>
    <w:rsid w:val="007B511A"/>
    <w:rPr>
      <w:lang w:eastAsia="en-US"/>
    </w:rPr>
  </w:style>
  <w:style w:type="character" w:styleId="FootnoteReference">
    <w:name w:val="footnote reference"/>
    <w:basedOn w:val="DefaultParagraphFont"/>
    <w:uiPriority w:val="99"/>
    <w:semiHidden/>
    <w:unhideWhenUsed/>
    <w:rsid w:val="007B511A"/>
    <w:rPr>
      <w:vertAlign w:val="superscript"/>
    </w:rPr>
  </w:style>
  <w:style w:type="character" w:styleId="Strong">
    <w:name w:val="Strong"/>
    <w:uiPriority w:val="22"/>
    <w:qFormat/>
    <w:rsid w:val="00CD0604"/>
    <w:rPr>
      <w:b/>
      <w:bCs/>
    </w:rPr>
  </w:style>
  <w:style w:type="paragraph" w:customStyle="1" w:styleId="Tabletext9">
    <w:name w:val="Table text (9)"/>
    <w:basedOn w:val="Normal"/>
    <w:rsid w:val="004C13D8"/>
    <w:pPr>
      <w:spacing w:before="60" w:after="60" w:line="210" w:lineRule="atLeast"/>
      <w:jc w:val="both"/>
    </w:pPr>
    <w:rPr>
      <w:rFonts w:ascii="Arial" w:eastAsia="MS Mincho" w:hAnsi="Arial"/>
      <w:sz w:val="18"/>
      <w:szCs w:val="20"/>
      <w:lang w:eastAsia="fr-FR"/>
    </w:rPr>
  </w:style>
  <w:style w:type="paragraph" w:styleId="BalloonText">
    <w:name w:val="Balloon Text"/>
    <w:basedOn w:val="Normal"/>
    <w:link w:val="BalloonTextChar"/>
    <w:uiPriority w:val="99"/>
    <w:semiHidden/>
    <w:unhideWhenUsed/>
    <w:rsid w:val="00D07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0D1"/>
    <w:rPr>
      <w:rFonts w:ascii="Tahoma" w:hAnsi="Tahoma" w:cs="Tahoma"/>
      <w:sz w:val="16"/>
      <w:szCs w:val="16"/>
      <w:lang w:eastAsia="en-US"/>
    </w:rPr>
  </w:style>
  <w:style w:type="paragraph" w:customStyle="1" w:styleId="Note">
    <w:name w:val="Note"/>
    <w:basedOn w:val="Normal"/>
    <w:rsid w:val="00C80C63"/>
    <w:pPr>
      <w:tabs>
        <w:tab w:val="left" w:pos="965"/>
      </w:tabs>
      <w:spacing w:after="240" w:line="220" w:lineRule="atLeast"/>
      <w:jc w:val="both"/>
    </w:pPr>
    <w:rPr>
      <w:rFonts w:ascii="Cambria" w:hAnsi="Cambria"/>
      <w:sz w:val="20"/>
    </w:rPr>
  </w:style>
  <w:style w:type="paragraph" w:customStyle="1" w:styleId="Tabletitle">
    <w:name w:val="Table title"/>
    <w:basedOn w:val="Normal"/>
    <w:link w:val="TabletitleChar"/>
    <w:rsid w:val="00C80C63"/>
    <w:pPr>
      <w:suppressAutoHyphens/>
      <w:spacing w:before="120" w:after="120" w:line="240" w:lineRule="atLeast"/>
      <w:jc w:val="center"/>
    </w:pPr>
    <w:rPr>
      <w:rFonts w:ascii="Cambria" w:hAnsi="Cambria"/>
      <w:b/>
    </w:rPr>
  </w:style>
  <w:style w:type="paragraph" w:customStyle="1" w:styleId="Tablebody">
    <w:name w:val="Table body"/>
    <w:basedOn w:val="Normal"/>
    <w:rsid w:val="00C80C63"/>
    <w:pPr>
      <w:spacing w:before="60" w:after="60" w:line="210" w:lineRule="atLeast"/>
    </w:pPr>
    <w:rPr>
      <w:rFonts w:ascii="Cambria" w:hAnsi="Cambria"/>
      <w:sz w:val="20"/>
    </w:rPr>
  </w:style>
  <w:style w:type="paragraph" w:customStyle="1" w:styleId="Tableheader">
    <w:name w:val="Table header"/>
    <w:basedOn w:val="Tablebody"/>
    <w:rsid w:val="00C80C63"/>
  </w:style>
  <w:style w:type="paragraph" w:styleId="BodyText">
    <w:name w:val="Body Text"/>
    <w:basedOn w:val="Normal"/>
    <w:link w:val="BodyTextChar"/>
    <w:uiPriority w:val="99"/>
    <w:unhideWhenUsed/>
    <w:rsid w:val="00C80C63"/>
    <w:pPr>
      <w:spacing w:after="120" w:line="240" w:lineRule="atLeast"/>
      <w:jc w:val="both"/>
    </w:pPr>
    <w:rPr>
      <w:rFonts w:ascii="Cambria" w:hAnsi="Cambria"/>
    </w:rPr>
  </w:style>
  <w:style w:type="character" w:customStyle="1" w:styleId="BodyTextChar">
    <w:name w:val="Body Text Char"/>
    <w:basedOn w:val="DefaultParagraphFont"/>
    <w:link w:val="BodyText"/>
    <w:uiPriority w:val="99"/>
    <w:rsid w:val="00C80C63"/>
    <w:rPr>
      <w:rFonts w:ascii="Cambria" w:hAnsi="Cambria"/>
      <w:sz w:val="22"/>
      <w:szCs w:val="22"/>
      <w:lang w:eastAsia="en-US"/>
    </w:rPr>
  </w:style>
  <w:style w:type="character" w:customStyle="1" w:styleId="TabletitleChar">
    <w:name w:val="Table title Char"/>
    <w:basedOn w:val="DefaultParagraphFont"/>
    <w:link w:val="Tabletitle"/>
    <w:rsid w:val="00C80C63"/>
    <w:rPr>
      <w:rFonts w:ascii="Cambria" w:hAnsi="Cambria"/>
      <w:b/>
      <w:sz w:val="22"/>
      <w:szCs w:val="22"/>
      <w:lang w:eastAsia="en-US"/>
    </w:rPr>
  </w:style>
  <w:style w:type="character" w:styleId="CommentReference">
    <w:name w:val="annotation reference"/>
    <w:basedOn w:val="DefaultParagraphFont"/>
    <w:uiPriority w:val="99"/>
    <w:semiHidden/>
    <w:unhideWhenUsed/>
    <w:rsid w:val="001E5C3F"/>
    <w:rPr>
      <w:sz w:val="16"/>
      <w:szCs w:val="16"/>
    </w:rPr>
  </w:style>
  <w:style w:type="paragraph" w:styleId="CommentText">
    <w:name w:val="annotation text"/>
    <w:basedOn w:val="Normal"/>
    <w:link w:val="CommentTextChar"/>
    <w:uiPriority w:val="99"/>
    <w:semiHidden/>
    <w:unhideWhenUsed/>
    <w:rsid w:val="001E5C3F"/>
    <w:pPr>
      <w:spacing w:line="240" w:lineRule="auto"/>
    </w:pPr>
    <w:rPr>
      <w:sz w:val="20"/>
      <w:szCs w:val="20"/>
    </w:rPr>
  </w:style>
  <w:style w:type="character" w:customStyle="1" w:styleId="CommentTextChar">
    <w:name w:val="Comment Text Char"/>
    <w:basedOn w:val="DefaultParagraphFont"/>
    <w:link w:val="CommentText"/>
    <w:uiPriority w:val="99"/>
    <w:semiHidden/>
    <w:rsid w:val="001E5C3F"/>
    <w:rPr>
      <w:lang w:eastAsia="en-US"/>
    </w:rPr>
  </w:style>
  <w:style w:type="paragraph" w:styleId="CommentSubject">
    <w:name w:val="annotation subject"/>
    <w:basedOn w:val="CommentText"/>
    <w:next w:val="CommentText"/>
    <w:link w:val="CommentSubjectChar"/>
    <w:uiPriority w:val="99"/>
    <w:semiHidden/>
    <w:unhideWhenUsed/>
    <w:rsid w:val="001E5C3F"/>
    <w:rPr>
      <w:b/>
      <w:bCs/>
    </w:rPr>
  </w:style>
  <w:style w:type="character" w:customStyle="1" w:styleId="CommentSubjectChar">
    <w:name w:val="Comment Subject Char"/>
    <w:basedOn w:val="CommentTextChar"/>
    <w:link w:val="CommentSubject"/>
    <w:uiPriority w:val="99"/>
    <w:semiHidden/>
    <w:rsid w:val="001E5C3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119787">
      <w:bodyDiv w:val="1"/>
      <w:marLeft w:val="0"/>
      <w:marRight w:val="0"/>
      <w:marTop w:val="0"/>
      <w:marBottom w:val="0"/>
      <w:divBdr>
        <w:top w:val="none" w:sz="0" w:space="0" w:color="auto"/>
        <w:left w:val="none" w:sz="0" w:space="0" w:color="auto"/>
        <w:bottom w:val="none" w:sz="0" w:space="0" w:color="auto"/>
        <w:right w:val="none" w:sz="0" w:space="0" w:color="auto"/>
      </w:divBdr>
    </w:div>
    <w:div w:id="2045862266">
      <w:bodyDiv w:val="1"/>
      <w:marLeft w:val="0"/>
      <w:marRight w:val="0"/>
      <w:marTop w:val="0"/>
      <w:marBottom w:val="0"/>
      <w:divBdr>
        <w:top w:val="none" w:sz="0" w:space="0" w:color="auto"/>
        <w:left w:val="none" w:sz="0" w:space="0" w:color="auto"/>
        <w:bottom w:val="none" w:sz="0" w:space="0" w:color="auto"/>
        <w:right w:val="none" w:sz="0" w:space="0" w:color="auto"/>
      </w:divBdr>
    </w:div>
    <w:div w:id="205522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6E1B49CF51A9F429440A3C78B816EED" ma:contentTypeVersion="0" ma:contentTypeDescription="Create a new document." ma:contentTypeScope="" ma:versionID="8965699d809e249094791ea5ff490ba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497C08-4DFF-4826-B485-D4F881E9012A}">
  <ds:schemaRefs>
    <ds:schemaRef ds:uri="http://schemas.openxmlformats.org/officeDocument/2006/bibliography"/>
  </ds:schemaRefs>
</ds:datastoreItem>
</file>

<file path=customXml/itemProps2.xml><?xml version="1.0" encoding="utf-8"?>
<ds:datastoreItem xmlns:ds="http://schemas.openxmlformats.org/officeDocument/2006/customXml" ds:itemID="{0A9E3770-9B0B-4B48-919C-32667A8CE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378DD5A-2BB8-4F9E-B290-D1A10BD6D465}">
  <ds:schemaRefs>
    <ds:schemaRef ds:uri="http://schemas.microsoft.com/office/2006/metadata/properties"/>
  </ds:schemaRefs>
</ds:datastoreItem>
</file>

<file path=customXml/itemProps4.xml><?xml version="1.0" encoding="utf-8"?>
<ds:datastoreItem xmlns:ds="http://schemas.openxmlformats.org/officeDocument/2006/customXml" ds:itemID="{A57A437F-D85C-4D43-8C5F-BF82676D8C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3</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Annex ZA proposed by EC_2015-05-29_transferred to WORD and formatted</vt:lpstr>
    </vt:vector>
  </TitlesOfParts>
  <Company>CENCENELEC</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ZA proposed by EC_2015-05-29_transferred to WORD and formatted</dc:title>
  <dc:subject>1 step to new LVD Annex ZA</dc:subject>
  <dc:creator>Jens Erdmann</dc:creator>
  <cp:lastModifiedBy>Vandriessche Sophie</cp:lastModifiedBy>
  <cp:revision>47</cp:revision>
  <cp:lastPrinted>2021-06-01T08:37:00Z</cp:lastPrinted>
  <dcterms:created xsi:type="dcterms:W3CDTF">2018-02-06T07:49:00Z</dcterms:created>
  <dcterms:modified xsi:type="dcterms:W3CDTF">2022-04-03T14:25:00Z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0x01010066E1B49CF51A9F429440A3C78B816EED</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